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outlineLvl w:val="0"/>
        <w:rPr>
          <w:rFonts w:hint="eastAsia" w:ascii="黑体" w:hAnsi="黑体" w:eastAsia="黑体" w:cs="黑体"/>
          <w:b/>
          <w:color w:val="auto"/>
          <w:sz w:val="48"/>
          <w:highlight w:val="none"/>
        </w:rPr>
      </w:pPr>
    </w:p>
    <w:p>
      <w:pPr>
        <w:pStyle w:val="8"/>
        <w:spacing w:line="360" w:lineRule="auto"/>
        <w:jc w:val="center"/>
        <w:outlineLvl w:val="0"/>
        <w:rPr>
          <w:rFonts w:hint="eastAsia" w:ascii="黑体" w:hAnsi="黑体" w:eastAsia="黑体" w:cs="黑体"/>
          <w:b/>
          <w:color w:val="auto"/>
          <w:sz w:val="72"/>
          <w:szCs w:val="72"/>
          <w:highlight w:val="none"/>
        </w:rPr>
      </w:pPr>
      <w:r>
        <w:rPr>
          <w:rFonts w:hint="eastAsia" w:ascii="黑体" w:hAnsi="黑体" w:eastAsia="黑体" w:cs="黑体"/>
          <w:b/>
          <w:color w:val="auto"/>
          <w:sz w:val="72"/>
          <w:szCs w:val="72"/>
          <w:highlight w:val="none"/>
        </w:rPr>
        <w:t>福建省政府采购</w:t>
      </w:r>
    </w:p>
    <w:p>
      <w:pPr>
        <w:pStyle w:val="8"/>
        <w:spacing w:line="360" w:lineRule="auto"/>
        <w:jc w:val="center"/>
        <w:outlineLvl w:val="0"/>
        <w:rPr>
          <w:rFonts w:hint="eastAsia" w:ascii="黑体" w:hAnsi="黑体" w:eastAsia="黑体" w:cs="黑体"/>
          <w:color w:val="auto"/>
          <w:sz w:val="72"/>
          <w:szCs w:val="72"/>
          <w:highlight w:val="none"/>
        </w:rPr>
      </w:pPr>
      <w:r>
        <w:rPr>
          <w:rFonts w:hint="eastAsia" w:ascii="黑体" w:hAnsi="黑体" w:eastAsia="黑体" w:cs="黑体"/>
          <w:b/>
          <w:color w:val="auto"/>
          <w:sz w:val="72"/>
          <w:szCs w:val="72"/>
          <w:highlight w:val="none"/>
        </w:rPr>
        <w:t>货物和服务项目</w:t>
      </w:r>
    </w:p>
    <w:p>
      <w:pPr>
        <w:pStyle w:val="8"/>
        <w:spacing w:line="360" w:lineRule="auto"/>
        <w:jc w:val="center"/>
        <w:outlineLvl w:val="0"/>
        <w:rPr>
          <w:rFonts w:hint="eastAsia" w:ascii="黑体" w:hAnsi="黑体" w:eastAsia="黑体" w:cs="黑体"/>
          <w:b/>
          <w:color w:val="auto"/>
          <w:sz w:val="72"/>
          <w:szCs w:val="72"/>
          <w:highlight w:val="none"/>
        </w:rPr>
      </w:pPr>
    </w:p>
    <w:p>
      <w:pPr>
        <w:pStyle w:val="8"/>
        <w:spacing w:line="360" w:lineRule="auto"/>
        <w:jc w:val="center"/>
        <w:outlineLvl w:val="0"/>
        <w:rPr>
          <w:rFonts w:hint="eastAsia" w:ascii="黑体" w:hAnsi="黑体" w:eastAsia="黑体" w:cs="黑体"/>
          <w:b/>
          <w:color w:val="auto"/>
          <w:sz w:val="72"/>
          <w:szCs w:val="72"/>
          <w:highlight w:val="none"/>
        </w:rPr>
      </w:pPr>
    </w:p>
    <w:p>
      <w:pPr>
        <w:pStyle w:val="8"/>
        <w:spacing w:line="360" w:lineRule="auto"/>
        <w:jc w:val="center"/>
        <w:outlineLvl w:val="0"/>
        <w:rPr>
          <w:rFonts w:hint="eastAsia" w:ascii="黑体" w:hAnsi="黑体" w:eastAsia="黑体" w:cs="黑体"/>
          <w:color w:val="auto"/>
          <w:highlight w:val="none"/>
        </w:rPr>
      </w:pPr>
      <w:r>
        <w:rPr>
          <w:rFonts w:hint="eastAsia" w:ascii="黑体" w:hAnsi="黑体" w:eastAsia="黑体" w:cs="黑体"/>
          <w:b/>
          <w:color w:val="auto"/>
          <w:sz w:val="72"/>
          <w:szCs w:val="72"/>
          <w:highlight w:val="none"/>
        </w:rPr>
        <w:t>公开招标文件</w:t>
      </w:r>
    </w:p>
    <w:p>
      <w:pPr>
        <w:pStyle w:val="8"/>
        <w:spacing w:line="360" w:lineRule="auto"/>
        <w:jc w:val="center"/>
        <w:outlineLvl w:val="0"/>
        <w:rPr>
          <w:rFonts w:hint="eastAsia" w:ascii="黑体" w:hAnsi="黑体" w:eastAsia="黑体" w:cs="黑体"/>
          <w:b/>
          <w:color w:val="auto"/>
          <w:sz w:val="72"/>
          <w:szCs w:val="72"/>
          <w:highlight w:val="none"/>
          <w:lang w:eastAsia="zh-CN"/>
        </w:rPr>
      </w:pPr>
      <w:r>
        <w:rPr>
          <w:rFonts w:hint="eastAsia" w:ascii="黑体" w:hAnsi="黑体" w:eastAsia="黑体" w:cs="黑体"/>
          <w:b/>
          <w:color w:val="auto"/>
          <w:sz w:val="72"/>
          <w:szCs w:val="72"/>
          <w:highlight w:val="none"/>
          <w:lang w:eastAsia="zh-CN"/>
        </w:rPr>
        <w:t>（</w:t>
      </w:r>
      <w:r>
        <w:rPr>
          <w:rFonts w:hint="eastAsia" w:ascii="黑体" w:hAnsi="黑体" w:eastAsia="黑体" w:cs="黑体"/>
          <w:b/>
          <w:color w:val="auto"/>
          <w:sz w:val="72"/>
          <w:szCs w:val="72"/>
          <w:highlight w:val="none"/>
          <w:lang w:val="en-US" w:eastAsia="zh-CN"/>
        </w:rPr>
        <w:t>预公告版</w:t>
      </w:r>
      <w:r>
        <w:rPr>
          <w:rFonts w:hint="eastAsia" w:ascii="黑体" w:hAnsi="黑体" w:eastAsia="黑体" w:cs="黑体"/>
          <w:b/>
          <w:color w:val="auto"/>
          <w:sz w:val="72"/>
          <w:szCs w:val="72"/>
          <w:highlight w:val="none"/>
          <w:lang w:eastAsia="zh-CN"/>
        </w:rPr>
        <w:t>）</w:t>
      </w:r>
    </w:p>
    <w:p>
      <w:pPr>
        <w:pStyle w:val="8"/>
        <w:jc w:val="center"/>
        <w:outlineLvl w:val="2"/>
        <w:rPr>
          <w:rFonts w:hint="eastAsia" w:ascii="黑体" w:hAnsi="黑体" w:eastAsia="黑体" w:cs="黑体"/>
          <w:b/>
          <w:color w:val="auto"/>
          <w:sz w:val="28"/>
          <w:highlight w:val="none"/>
        </w:rPr>
      </w:pPr>
    </w:p>
    <w:p>
      <w:pPr>
        <w:pStyle w:val="8"/>
        <w:jc w:val="center"/>
        <w:outlineLvl w:val="2"/>
        <w:rPr>
          <w:rFonts w:hint="eastAsia" w:ascii="黑体" w:hAnsi="黑体" w:eastAsia="黑体" w:cs="黑体"/>
          <w:b/>
          <w:color w:val="auto"/>
          <w:sz w:val="28"/>
          <w:highlight w:val="none"/>
        </w:rPr>
      </w:pPr>
    </w:p>
    <w:p>
      <w:pPr>
        <w:pStyle w:val="8"/>
        <w:jc w:val="center"/>
        <w:outlineLvl w:val="2"/>
        <w:rPr>
          <w:rFonts w:hint="eastAsia" w:ascii="黑体" w:hAnsi="黑体" w:eastAsia="黑体" w:cs="黑体"/>
          <w:b/>
          <w:color w:val="auto"/>
          <w:sz w:val="28"/>
          <w:highlight w:val="none"/>
        </w:rPr>
      </w:pPr>
    </w:p>
    <w:p>
      <w:pPr>
        <w:pStyle w:val="8"/>
        <w:ind w:firstLine="562" w:firstLineChars="200"/>
        <w:jc w:val="left"/>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项目名称：三明市高森林火险区地方森林消防队伍能力建设项目</w:t>
      </w:r>
    </w:p>
    <w:p>
      <w:pPr>
        <w:pStyle w:val="8"/>
        <w:ind w:firstLine="562" w:firstLineChars="200"/>
        <w:jc w:val="left"/>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备案编号：CGXM-2023-350401-01996[2023]01961</w:t>
      </w:r>
    </w:p>
    <w:p>
      <w:pPr>
        <w:pStyle w:val="8"/>
        <w:ind w:firstLine="562" w:firstLineChars="200"/>
        <w:jc w:val="left"/>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项目编号：[350401]JHZX[GK]2023001</w:t>
      </w:r>
    </w:p>
    <w:p>
      <w:pPr>
        <w:pStyle w:val="8"/>
        <w:ind w:firstLine="562" w:firstLineChars="200"/>
        <w:jc w:val="left"/>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采购人：三明市应急管理局</w:t>
      </w:r>
    </w:p>
    <w:p>
      <w:pPr>
        <w:pStyle w:val="8"/>
        <w:ind w:firstLine="562" w:firstLineChars="200"/>
        <w:jc w:val="left"/>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代理机构：福建久和工程咨询有限公司</w:t>
      </w:r>
    </w:p>
    <w:p>
      <w:pPr>
        <w:pStyle w:val="8"/>
        <w:ind w:firstLine="562" w:firstLineChars="200"/>
        <w:jc w:val="left"/>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编制时间：2023年12月</w:t>
      </w:r>
    </w:p>
    <w:p>
      <w:pPr>
        <w:pStyle w:val="8"/>
        <w:jc w:val="center"/>
        <w:outlineLvl w:val="1"/>
        <w:rPr>
          <w:rFonts w:hint="eastAsia" w:ascii="黑体" w:hAnsi="黑体" w:eastAsia="黑体" w:cs="黑体"/>
          <w:color w:val="auto"/>
          <w:highlight w:val="none"/>
        </w:rPr>
        <w:sectPr>
          <w:pgSz w:w="11906" w:h="16838"/>
          <w:pgMar w:top="1134" w:right="1134" w:bottom="1134" w:left="1134" w:header="851" w:footer="992" w:gutter="0"/>
          <w:cols w:space="425" w:num="1"/>
          <w:docGrid w:type="lines" w:linePitch="312" w:charSpace="0"/>
        </w:sect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p>
    <w:p>
      <w:pPr>
        <w:pStyle w:val="8"/>
        <w:jc w:val="center"/>
        <w:outlineLvl w:val="1"/>
        <w:rPr>
          <w:rFonts w:hint="eastAsia" w:ascii="黑体" w:hAnsi="黑体" w:eastAsia="黑体" w:cs="黑体"/>
          <w:color w:val="auto"/>
          <w:sz w:val="32"/>
          <w:szCs w:val="32"/>
          <w:highlight w:val="none"/>
        </w:rPr>
      </w:pPr>
      <w:r>
        <w:rPr>
          <w:rFonts w:hint="eastAsia" w:ascii="黑体" w:hAnsi="黑体" w:eastAsia="黑体" w:cs="黑体"/>
          <w:b/>
          <w:color w:val="auto"/>
          <w:sz w:val="32"/>
          <w:szCs w:val="32"/>
          <w:highlight w:val="none"/>
        </w:rPr>
        <w:t>第一章 投标邀请</w:t>
      </w:r>
    </w:p>
    <w:p>
      <w:pPr>
        <w:pStyle w:val="8"/>
        <w:ind w:firstLine="480"/>
        <w:jc w:val="both"/>
        <w:rPr>
          <w:rFonts w:hint="eastAsia" w:ascii="黑体" w:hAnsi="黑体" w:eastAsia="黑体" w:cs="黑体"/>
          <w:color w:val="auto"/>
          <w:sz w:val="24"/>
          <w:szCs w:val="24"/>
          <w:highlight w:val="none"/>
        </w:rPr>
      </w:pP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福建久和工程咨询有限公司 采用公开招标方式组织 三明市高森林火险区地方森林消防队伍能力建设项目 （以下简称：“本项目”）的政府采购活动，现邀请供应商参加投标。</w:t>
      </w:r>
    </w:p>
    <w:p>
      <w:pPr>
        <w:pStyle w:val="8"/>
        <w:spacing w:line="360" w:lineRule="auto"/>
        <w:ind w:firstLine="480"/>
        <w:jc w:val="left"/>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1、备案编号：CGXM-2023-350401-01996[2023]01961</w:t>
      </w:r>
    </w:p>
    <w:p>
      <w:pPr>
        <w:pStyle w:val="8"/>
        <w:spacing w:line="360" w:lineRule="auto"/>
        <w:ind w:firstLine="480"/>
        <w:jc w:val="left"/>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2、项目编号：[350401]JHZX[GK]2023001</w:t>
      </w:r>
    </w:p>
    <w:p>
      <w:pPr>
        <w:pStyle w:val="8"/>
        <w:spacing w:line="360" w:lineRule="auto"/>
        <w:ind w:firstLine="480"/>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3、预算金额、最高限价：详见《采购标的一览表》。</w:t>
      </w:r>
    </w:p>
    <w:p>
      <w:pPr>
        <w:pStyle w:val="8"/>
        <w:spacing w:line="360" w:lineRule="auto"/>
        <w:ind w:firstLine="480"/>
        <w:jc w:val="left"/>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4、招标内容及要求：详见《采购标的一览表》及招标文件第五章。</w:t>
      </w:r>
    </w:p>
    <w:p>
      <w:pPr>
        <w:pStyle w:val="8"/>
        <w:spacing w:line="360" w:lineRule="auto"/>
        <w:ind w:firstLine="480"/>
        <w:jc w:val="left"/>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5、需要落实的政府采购政策</w:t>
      </w:r>
    </w:p>
    <w:p>
      <w:pPr>
        <w:pStyle w:val="8"/>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进口产品：不适用</w:t>
      </w:r>
    </w:p>
    <w:p>
      <w:pPr>
        <w:pStyle w:val="8"/>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节能产品：适用于（合同包1、2、3、4、5），按照财政部最新公布的品目清单执行</w:t>
      </w:r>
    </w:p>
    <w:p>
      <w:pPr>
        <w:pStyle w:val="8"/>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环境标志产品：适用于（合同包1、2、3、4、5），按照财政部最新公布的品目清单执行</w:t>
      </w:r>
    </w:p>
    <w:p>
      <w:pPr>
        <w:pStyle w:val="8"/>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促进中小企业发展的相关政策：</w:t>
      </w:r>
    </w:p>
    <w:p>
      <w:pPr>
        <w:pStyle w:val="8"/>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采购包1：不专门面向中小企业采购</w:t>
      </w:r>
    </w:p>
    <w:p>
      <w:pPr>
        <w:pStyle w:val="8"/>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采购包2：不专门面向中小企业采购</w:t>
      </w:r>
    </w:p>
    <w:p>
      <w:pPr>
        <w:pStyle w:val="8"/>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采购包3：不专门面向中小企业采购</w:t>
      </w:r>
    </w:p>
    <w:p>
      <w:pPr>
        <w:pStyle w:val="8"/>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采购包4：不专门面向中小企业采购</w:t>
      </w:r>
    </w:p>
    <w:p>
      <w:pPr>
        <w:pStyle w:val="8"/>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采购包5：不专门面向中小企业采购</w:t>
      </w:r>
    </w:p>
    <w:p>
      <w:pPr>
        <w:pStyle w:val="8"/>
        <w:spacing w:line="360" w:lineRule="auto"/>
        <w:ind w:firstLine="481" w:firstLineChars="200"/>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6、投标人的资格要求</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6.1法定条件：符合政府采购法第二十二条第一款规定的条件。</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6.2特定条件：</w:t>
      </w:r>
    </w:p>
    <w:p>
      <w:pPr>
        <w:pStyle w:val="8"/>
        <w:spacing w:line="360" w:lineRule="auto"/>
        <w:ind w:firstLine="48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采购包1：</w:t>
      </w:r>
    </w:p>
    <w:tbl>
      <w:tblPr>
        <w:tblStyle w:val="5"/>
        <w:tblW w:w="4889" w:type="pct"/>
        <w:tblInd w:w="12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43"/>
        <w:gridCol w:w="7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2" w:hRule="atLeast"/>
        </w:trPr>
        <w:tc>
          <w:tcPr>
            <w:tcW w:w="111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资格审查要求概况</w:t>
            </w:r>
          </w:p>
        </w:tc>
        <w:tc>
          <w:tcPr>
            <w:tcW w:w="38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现场参与供应商需携带材料</w:t>
            </w:r>
          </w:p>
        </w:tc>
        <w:tc>
          <w:tcPr>
            <w:tcW w:w="3887" w:type="pct"/>
            <w:vAlign w:val="center"/>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现场参与的</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代表均需随身携带本人身份证原件。如果</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代表不是单位负责人，</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代表还需提交《单位负责人授权书》（附单位负责人身份证复印件及被授权人身份证复印件）以便现场核查；</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代表应随身携带CA用于现场电子签到及解密电子版响应文件。</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采购包2：</w:t>
      </w:r>
    </w:p>
    <w:tbl>
      <w:tblPr>
        <w:tblStyle w:val="5"/>
        <w:tblW w:w="4885" w:type="pct"/>
        <w:tblInd w:w="13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43"/>
        <w:gridCol w:w="74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资格审查要求概况</w:t>
            </w:r>
          </w:p>
        </w:tc>
        <w:tc>
          <w:tcPr>
            <w:tcW w:w="38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现场参与</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需携带材料</w:t>
            </w:r>
          </w:p>
        </w:tc>
        <w:tc>
          <w:tcPr>
            <w:tcW w:w="3886" w:type="pct"/>
            <w:vAlign w:val="center"/>
          </w:tcPr>
          <w:p>
            <w:pPr>
              <w:pStyle w:val="8"/>
              <w:spacing w:line="360" w:lineRule="auto"/>
              <w:jc w:val="center"/>
              <w:rPr>
                <w:color w:val="auto"/>
                <w:highlight w:val="none"/>
              </w:rPr>
            </w:pPr>
            <w:r>
              <w:rPr>
                <w:rFonts w:hint="eastAsia" w:ascii="黑体" w:hAnsi="黑体" w:eastAsia="黑体" w:cs="黑体"/>
                <w:color w:val="auto"/>
                <w:sz w:val="24"/>
                <w:szCs w:val="24"/>
                <w:highlight w:val="none"/>
              </w:rPr>
              <w:t>现场参与的</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代表均需随身携带本人身份证原件。如果</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代表不是单位负责人，</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代表还需提交《单位负责人授权书》（附单位负责人身份证复印件及被授权人身份证复印件）以便现场核查；</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代表应随身携带CA用于现场电子签到及解密电子版响应文件。</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采购包3：</w:t>
      </w:r>
    </w:p>
    <w:tbl>
      <w:tblPr>
        <w:tblStyle w:val="5"/>
        <w:tblW w:w="4871" w:type="pct"/>
        <w:tblInd w:w="13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45"/>
        <w:gridCol w:w="74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资格审查要求概况</w:t>
            </w:r>
          </w:p>
        </w:tc>
        <w:tc>
          <w:tcPr>
            <w:tcW w:w="388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现场参与</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需携带材料</w:t>
            </w:r>
          </w:p>
        </w:tc>
        <w:tc>
          <w:tcPr>
            <w:tcW w:w="3882" w:type="pct"/>
            <w:vAlign w:val="center"/>
          </w:tcPr>
          <w:p>
            <w:pPr>
              <w:pStyle w:val="8"/>
              <w:spacing w:line="360" w:lineRule="auto"/>
              <w:jc w:val="left"/>
              <w:rPr>
                <w:color w:val="auto"/>
                <w:highlight w:val="none"/>
              </w:rPr>
            </w:pPr>
            <w:r>
              <w:rPr>
                <w:rFonts w:hint="eastAsia" w:ascii="黑体" w:hAnsi="黑体" w:eastAsia="黑体" w:cs="黑体"/>
                <w:color w:val="auto"/>
                <w:sz w:val="24"/>
                <w:szCs w:val="24"/>
                <w:highlight w:val="none"/>
              </w:rPr>
              <w:t>现场参与的</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代表均需随身携带本人身份证原件。如果</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代表不是单位负责人，</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代表还需提交《单位负责人授权书》（附单位负责人身份证复印件及被授权人身份证复印件）以便现场核查；</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代表应随身携带CA用于现场电子签到及解密电子版响应文件。</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采购包4：</w:t>
      </w:r>
    </w:p>
    <w:tbl>
      <w:tblPr>
        <w:tblStyle w:val="5"/>
        <w:tblW w:w="4862" w:type="pct"/>
        <w:tblInd w:w="14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29"/>
        <w:gridCol w:w="74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资格审查要求概况</w:t>
            </w:r>
          </w:p>
        </w:tc>
        <w:tc>
          <w:tcPr>
            <w:tcW w:w="3888"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现场参与</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需携带材料</w:t>
            </w:r>
          </w:p>
        </w:tc>
        <w:tc>
          <w:tcPr>
            <w:tcW w:w="3888" w:type="pct"/>
            <w:vAlign w:val="center"/>
          </w:tcPr>
          <w:p>
            <w:pPr>
              <w:pStyle w:val="8"/>
              <w:spacing w:line="360" w:lineRule="auto"/>
              <w:jc w:val="left"/>
              <w:rPr>
                <w:color w:val="auto"/>
                <w:highlight w:val="none"/>
              </w:rPr>
            </w:pPr>
            <w:r>
              <w:rPr>
                <w:rFonts w:hint="eastAsia" w:ascii="黑体" w:hAnsi="黑体" w:eastAsia="黑体" w:cs="黑体"/>
                <w:color w:val="auto"/>
                <w:sz w:val="24"/>
                <w:szCs w:val="24"/>
                <w:highlight w:val="none"/>
              </w:rPr>
              <w:t>现场参与的</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代表均需随身携带本人身份证原件。如果</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代表不是单位负责人，</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代表还需提交《单位负责人授权书》（附单位负责人身份证复印件及被授权人身份证复印件）以便现场核查；</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代表应随身携带CA用于现场电子签到及解密电子版响应文件。</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采购包5：</w:t>
      </w:r>
    </w:p>
    <w:tbl>
      <w:tblPr>
        <w:tblStyle w:val="5"/>
        <w:tblW w:w="4878" w:type="pct"/>
        <w:tblInd w:w="13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44"/>
        <w:gridCol w:w="74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资格审查要求概况</w:t>
            </w:r>
          </w:p>
        </w:tc>
        <w:tc>
          <w:tcPr>
            <w:tcW w:w="3884"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现场参与</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需携带材料</w:t>
            </w:r>
          </w:p>
        </w:tc>
        <w:tc>
          <w:tcPr>
            <w:tcW w:w="3884" w:type="pct"/>
            <w:vAlign w:val="center"/>
          </w:tcPr>
          <w:p>
            <w:pPr>
              <w:pStyle w:val="8"/>
              <w:spacing w:line="360" w:lineRule="auto"/>
              <w:jc w:val="left"/>
              <w:rPr>
                <w:color w:val="auto"/>
                <w:highlight w:val="none"/>
              </w:rPr>
            </w:pPr>
            <w:r>
              <w:rPr>
                <w:rFonts w:hint="eastAsia" w:ascii="黑体" w:hAnsi="黑体" w:eastAsia="黑体" w:cs="黑体"/>
                <w:color w:val="auto"/>
                <w:sz w:val="24"/>
                <w:szCs w:val="24"/>
                <w:highlight w:val="none"/>
              </w:rPr>
              <w:t>现场参与的</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代表均需随身携带本人身份证原件。如果</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代表不是单位负责人，</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代表还需提交《单位负责人授权书》（附单位负责人身份证复印件及被授权人身份证复印件）以便现场核查；</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代表应随身携带CA用于现场电子签到及解密电子版响应文件。</w:t>
            </w:r>
          </w:p>
        </w:tc>
      </w:tr>
    </w:tbl>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6.3是否接受联合体投标：</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采购包1：不接受</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采购包2：不接受</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采购包3：不接受</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采购包4：不接受</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采购包5：不接受</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※根据上述资格要求，电子投标文件中应提交的“投标人的资格及资信证明文件”详见招标文件第四章。</w:t>
      </w:r>
    </w:p>
    <w:p>
      <w:pPr>
        <w:pStyle w:val="8"/>
        <w:spacing w:line="360" w:lineRule="auto"/>
        <w:ind w:firstLine="480"/>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7、招标文件的获取</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7.1、招标文件获取期限：详见招标公告或更正公告，若不一致，以更正公告为准。</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7.2、在招标文件获取期限内，</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应通过福建省政府采购网上公开信息系统的注册账号（免费注册）并获取招标文件(请根据项目所在地，登录对应的福建省政府采购网上公开信息系统(即省本级网址/地市分网))，否则投标将被拒绝。</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7.3、获取地点及方式：注册账号后，通过福建省政府采购网上公开信息系统以下载方式获取。</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7.4、招标文件售价：0元。</w:t>
      </w:r>
    </w:p>
    <w:p>
      <w:pPr>
        <w:pStyle w:val="8"/>
        <w:spacing w:line="360" w:lineRule="auto"/>
        <w:ind w:firstLine="480"/>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8、投标截止</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8.1、投标截止时间：详见招标公告或更正公告，若不一致，以更正公告为准。</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pPr>
        <w:pStyle w:val="8"/>
        <w:spacing w:line="360" w:lineRule="auto"/>
        <w:ind w:firstLine="480"/>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9、开标时间及地点</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详见招标公告或更正公告，若不一致，以更正公告为准。</w:t>
      </w:r>
    </w:p>
    <w:p>
      <w:pPr>
        <w:pStyle w:val="8"/>
        <w:spacing w:line="360" w:lineRule="auto"/>
        <w:ind w:firstLine="480"/>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10、公告期限</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10.1、招标公告的公告期限：自财政部和福建省财政厅指定的政府采购信息发布媒体最先发布公告之日起5个工作日。</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10.2、招标文件公告期限：招标文件随同招标公告一并发布，其公告期限与招标公告的公告期限保持一致。</w:t>
      </w:r>
    </w:p>
    <w:p>
      <w:pPr>
        <w:pStyle w:val="8"/>
        <w:spacing w:line="360" w:lineRule="auto"/>
        <w:ind w:firstLine="480"/>
        <w:jc w:val="left"/>
        <w:outlineLvl w:val="2"/>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11、采购人：三明市应急管理局</w:t>
      </w:r>
    </w:p>
    <w:p>
      <w:pPr>
        <w:pStyle w:val="8"/>
        <w:spacing w:line="360" w:lineRule="auto"/>
        <w:ind w:firstLine="480"/>
        <w:jc w:val="left"/>
        <w:outlineLvl w:val="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地址： 三明市 三元区列东街道新市北路208号</w:t>
      </w:r>
    </w:p>
    <w:p>
      <w:pPr>
        <w:pStyle w:val="8"/>
        <w:spacing w:line="360" w:lineRule="auto"/>
        <w:ind w:firstLine="480"/>
        <w:jc w:val="left"/>
        <w:outlineLvl w:val="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邮编： 365000</w:t>
      </w:r>
    </w:p>
    <w:p>
      <w:pPr>
        <w:pStyle w:val="8"/>
        <w:spacing w:line="360" w:lineRule="auto"/>
        <w:ind w:firstLine="480"/>
        <w:jc w:val="left"/>
        <w:outlineLvl w:val="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联系人： 池长武</w:t>
      </w:r>
    </w:p>
    <w:p>
      <w:pPr>
        <w:pStyle w:val="8"/>
        <w:spacing w:line="360" w:lineRule="auto"/>
        <w:ind w:firstLine="480"/>
        <w:jc w:val="left"/>
        <w:outlineLvl w:val="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联系电话： 05988215098</w:t>
      </w:r>
    </w:p>
    <w:p>
      <w:pPr>
        <w:pStyle w:val="8"/>
        <w:spacing w:line="360" w:lineRule="auto"/>
        <w:ind w:firstLine="480"/>
        <w:jc w:val="left"/>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12、代理机构：福建久和工程咨询有限公司</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地址： 燕南街道巴溪大道1369号1幢1-415室</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邮编： 366000</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联系人： 谢静静</w:t>
      </w:r>
    </w:p>
    <w:p>
      <w:pPr>
        <w:pStyle w:val="8"/>
        <w:spacing w:line="360" w:lineRule="auto"/>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联系电话： 13666991343</w:t>
      </w:r>
    </w:p>
    <w:p>
      <w:pPr>
        <w:pStyle w:val="8"/>
        <w:spacing w:line="360" w:lineRule="auto"/>
        <w:ind w:firstLine="480"/>
        <w:jc w:val="both"/>
        <w:outlineLvl w:val="2"/>
        <w:rPr>
          <w:rFonts w:hint="eastAsia" w:ascii="黑体" w:hAnsi="黑体" w:eastAsia="黑体" w:cs="黑体"/>
          <w:b/>
          <w:color w:val="auto"/>
          <w:sz w:val="24"/>
          <w:szCs w:val="24"/>
          <w:highlight w:val="none"/>
        </w:rPr>
      </w:pPr>
    </w:p>
    <w:p>
      <w:pPr>
        <w:pStyle w:val="8"/>
        <w:spacing w:line="360" w:lineRule="auto"/>
        <w:ind w:firstLine="480"/>
        <w:jc w:val="both"/>
        <w:outlineLvl w:val="2"/>
        <w:rPr>
          <w:rFonts w:hint="eastAsia" w:ascii="黑体" w:hAnsi="黑体" w:eastAsia="黑体" w:cs="黑体"/>
          <w:b/>
          <w:color w:val="auto"/>
          <w:sz w:val="24"/>
          <w:szCs w:val="24"/>
          <w:highlight w:val="none"/>
        </w:rPr>
      </w:pPr>
    </w:p>
    <w:p>
      <w:pPr>
        <w:pStyle w:val="8"/>
        <w:spacing w:line="360" w:lineRule="auto"/>
        <w:ind w:firstLine="480"/>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附1：账户信息</w:t>
      </w:r>
    </w:p>
    <w:tbl>
      <w:tblPr>
        <w:tblStyle w:val="5"/>
        <w:tblW w:w="4893" w:type="pct"/>
        <w:tblInd w:w="12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6" w:hRule="atLeast"/>
        </w:trPr>
        <w:tc>
          <w:tcPr>
            <w:tcW w:w="5000" w:type="pct"/>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开户名称： 福建久和工程咨询有限公司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1、投标人应认真核对账户信息，将投标保证金汇入以上账户，并自行承担因汇错投标保证金而产生的一切后果。</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2、投标人在转账或电汇的凭证上应按照以下格式注明，以便核对：“（项目编号：***）的投标保证金”。</w:t>
            </w:r>
          </w:p>
        </w:tc>
      </w:tr>
    </w:tbl>
    <w:p>
      <w:pPr>
        <w:pStyle w:val="8"/>
        <w:spacing w:line="360" w:lineRule="auto"/>
        <w:ind w:firstLine="480"/>
        <w:jc w:val="both"/>
        <w:outlineLvl w:val="2"/>
        <w:rPr>
          <w:rFonts w:hint="eastAsia" w:ascii="黑体" w:hAnsi="黑体" w:eastAsia="黑体" w:cs="黑体"/>
          <w:b/>
          <w:color w:val="auto"/>
          <w:sz w:val="24"/>
          <w:szCs w:val="24"/>
          <w:highlight w:val="none"/>
        </w:rPr>
      </w:pPr>
    </w:p>
    <w:p>
      <w:pPr>
        <w:pStyle w:val="8"/>
        <w:spacing w:line="360" w:lineRule="auto"/>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附2：采购标的一览表</w:t>
      </w: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采购包1：</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采购包预算金额（元）: 5,714,700.00</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采购包最高限价（元）: 5,714,700.00</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采购包保证金金额（元）: 57,147.00</w:t>
      </w:r>
    </w:p>
    <w:tbl>
      <w:tblPr>
        <w:tblStyle w:val="5"/>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6"/>
        <w:gridCol w:w="1980"/>
        <w:gridCol w:w="1084"/>
        <w:gridCol w:w="1858"/>
        <w:gridCol w:w="1332"/>
        <w:gridCol w:w="1332"/>
        <w:gridCol w:w="13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100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标的名称</w:t>
            </w:r>
          </w:p>
        </w:tc>
        <w:tc>
          <w:tcPr>
            <w:tcW w:w="55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数量</w:t>
            </w:r>
          </w:p>
        </w:tc>
        <w:tc>
          <w:tcPr>
            <w:tcW w:w="94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标的金额 （元）</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计量单位</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所属行业</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100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扑火机具类装备</w:t>
            </w:r>
          </w:p>
        </w:tc>
        <w:tc>
          <w:tcPr>
            <w:tcW w:w="55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1.00</w:t>
            </w:r>
          </w:p>
        </w:tc>
        <w:tc>
          <w:tcPr>
            <w:tcW w:w="94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5,714,700.00</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批</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工业</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否</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采购包2：</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采购包预算金额（元）: 5,020,000.00</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采购包最高限价（元）: 5,020,000.00</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采购包保证金金额（元）: 50,200.00</w:t>
      </w:r>
    </w:p>
    <w:tbl>
      <w:tblPr>
        <w:tblStyle w:val="5"/>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5"/>
        <w:gridCol w:w="1951"/>
        <w:gridCol w:w="1084"/>
        <w:gridCol w:w="1858"/>
        <w:gridCol w:w="1332"/>
        <w:gridCol w:w="1332"/>
        <w:gridCol w:w="13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99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标的名称</w:t>
            </w:r>
          </w:p>
        </w:tc>
        <w:tc>
          <w:tcPr>
            <w:tcW w:w="55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数量</w:t>
            </w:r>
          </w:p>
        </w:tc>
        <w:tc>
          <w:tcPr>
            <w:tcW w:w="94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标的金额 （元）</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计量单位</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所属行业</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99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安全防护类服装</w:t>
            </w:r>
          </w:p>
        </w:tc>
        <w:tc>
          <w:tcPr>
            <w:tcW w:w="55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1.00</w:t>
            </w:r>
          </w:p>
        </w:tc>
        <w:tc>
          <w:tcPr>
            <w:tcW w:w="94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5,020,000.00</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批</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工业</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否</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采购包3：</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采购包预算金额（元）: 2,867,300.00</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采购包最高限价（元）: 2,866,000.00</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采购包保证金金额（元）: 28,673.00</w:t>
      </w:r>
    </w:p>
    <w:tbl>
      <w:tblPr>
        <w:tblStyle w:val="5"/>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1"/>
        <w:gridCol w:w="1905"/>
        <w:gridCol w:w="1094"/>
        <w:gridCol w:w="1858"/>
        <w:gridCol w:w="1332"/>
        <w:gridCol w:w="1332"/>
        <w:gridCol w:w="13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96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标的名称</w:t>
            </w:r>
          </w:p>
        </w:tc>
        <w:tc>
          <w:tcPr>
            <w:tcW w:w="55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数量</w:t>
            </w:r>
          </w:p>
        </w:tc>
        <w:tc>
          <w:tcPr>
            <w:tcW w:w="94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标的金额 （元）</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计量单位</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所属行业</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96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无人机等通信指挥器材类装备</w:t>
            </w:r>
          </w:p>
        </w:tc>
        <w:tc>
          <w:tcPr>
            <w:tcW w:w="55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1.00</w:t>
            </w:r>
          </w:p>
        </w:tc>
        <w:tc>
          <w:tcPr>
            <w:tcW w:w="94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2,867,300.00</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批</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工业</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否</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采购包4：</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采购包预算金额（元）: 2,830,000.00</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采购包最高限价（元）: 2,830,000.00</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采购包保证金金额（元）: 28,300.00</w:t>
      </w:r>
    </w:p>
    <w:tbl>
      <w:tblPr>
        <w:tblStyle w:val="5"/>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1"/>
        <w:gridCol w:w="1905"/>
        <w:gridCol w:w="1094"/>
        <w:gridCol w:w="1858"/>
        <w:gridCol w:w="1332"/>
        <w:gridCol w:w="1332"/>
        <w:gridCol w:w="13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96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标的名称</w:t>
            </w:r>
          </w:p>
        </w:tc>
        <w:tc>
          <w:tcPr>
            <w:tcW w:w="55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数量</w:t>
            </w:r>
          </w:p>
        </w:tc>
        <w:tc>
          <w:tcPr>
            <w:tcW w:w="94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标的金额 （元）</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计量单位</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所属行业</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96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森林消防车辆类装备</w:t>
            </w:r>
          </w:p>
        </w:tc>
        <w:tc>
          <w:tcPr>
            <w:tcW w:w="55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1.00</w:t>
            </w:r>
          </w:p>
        </w:tc>
        <w:tc>
          <w:tcPr>
            <w:tcW w:w="94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2,830,000.00</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批</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工业</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否</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采购包5：</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采购包预算金额（元）: 2,664,000.00</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采购包最高限价（元）: 2,664,000.00</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采购包保证金金额（元）: 26,640.00</w:t>
      </w:r>
    </w:p>
    <w:tbl>
      <w:tblPr>
        <w:tblStyle w:val="5"/>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1875"/>
        <w:gridCol w:w="1109"/>
        <w:gridCol w:w="1858"/>
        <w:gridCol w:w="1332"/>
        <w:gridCol w:w="1332"/>
        <w:gridCol w:w="13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95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标的名称</w:t>
            </w:r>
          </w:p>
        </w:tc>
        <w:tc>
          <w:tcPr>
            <w:tcW w:w="56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数量</w:t>
            </w:r>
          </w:p>
        </w:tc>
        <w:tc>
          <w:tcPr>
            <w:tcW w:w="94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标的金额 （元）</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计量单位</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所属行业</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95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无线图传设备类装备</w:t>
            </w:r>
          </w:p>
        </w:tc>
        <w:tc>
          <w:tcPr>
            <w:tcW w:w="56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1.00</w:t>
            </w:r>
          </w:p>
        </w:tc>
        <w:tc>
          <w:tcPr>
            <w:tcW w:w="94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2,664,000.00</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批</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工业</w:t>
            </w:r>
          </w:p>
        </w:tc>
        <w:tc>
          <w:tcPr>
            <w:tcW w:w="67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否</w:t>
            </w:r>
          </w:p>
        </w:tc>
      </w:tr>
    </w:tbl>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1"/>
        <w:rPr>
          <w:rFonts w:hint="eastAsia" w:ascii="黑体" w:hAnsi="黑体" w:eastAsia="黑体" w:cs="黑体"/>
          <w:color w:val="auto"/>
          <w:sz w:val="32"/>
          <w:szCs w:val="32"/>
          <w:highlight w:val="none"/>
        </w:rPr>
      </w:pPr>
      <w:r>
        <w:rPr>
          <w:rFonts w:hint="eastAsia" w:ascii="黑体" w:hAnsi="黑体" w:eastAsia="黑体" w:cs="黑体"/>
          <w:b/>
          <w:color w:val="auto"/>
          <w:sz w:val="32"/>
          <w:szCs w:val="32"/>
          <w:highlight w:val="none"/>
        </w:rPr>
        <w:t>第二章 投标人须知前附表</w:t>
      </w:r>
    </w:p>
    <w:p>
      <w:pPr>
        <w:pStyle w:val="8"/>
        <w:ind w:firstLine="480"/>
        <w:jc w:val="both"/>
        <w:outlineLvl w:val="2"/>
        <w:rPr>
          <w:rFonts w:hint="eastAsia" w:ascii="黑体" w:hAnsi="黑体" w:eastAsia="黑体" w:cs="黑体"/>
          <w:b/>
          <w:color w:val="auto"/>
          <w:sz w:val="28"/>
          <w:highlight w:val="none"/>
        </w:rPr>
      </w:pPr>
    </w:p>
    <w:p>
      <w:pPr>
        <w:pStyle w:val="8"/>
        <w:spacing w:line="360" w:lineRule="auto"/>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一、投标人须知前附表1</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2"/>
        <w:gridCol w:w="1365"/>
        <w:gridCol w:w="79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3"/>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69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招标文件</w:t>
            </w:r>
          </w:p>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（第三章）</w:t>
            </w:r>
          </w:p>
        </w:tc>
        <w:tc>
          <w:tcPr>
            <w:tcW w:w="4012" w:type="pct"/>
            <w:vAlign w:val="center"/>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69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w:t>
            </w:r>
          </w:p>
        </w:tc>
        <w:tc>
          <w:tcPr>
            <w:tcW w:w="4012" w:type="pct"/>
            <w:vAlign w:val="center"/>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是否组织现场考察或召开开标前答疑会：</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采购包1：不组织</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采购包2：不组织</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采购包3：不组织</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采购包4：不组织</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采购包5：不组织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9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69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10.4</w:t>
            </w:r>
          </w:p>
        </w:tc>
        <w:tc>
          <w:tcPr>
            <w:tcW w:w="4012" w:type="pct"/>
            <w:vAlign w:val="center"/>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投标文件的份数：</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（1）可读介质（光盘或U盘） 1 份：投标人应将其上传至福建省政府采购网上公开信息系统的电子投标文件在该可读介质中另存 1 份。</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69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10.7-（1）</w:t>
            </w:r>
          </w:p>
        </w:tc>
        <w:tc>
          <w:tcPr>
            <w:tcW w:w="4012" w:type="pct"/>
            <w:vAlign w:val="center"/>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是否允许中标人将本项目的非主体、非关键性工作进行分包：</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采购包1：不允许合同分包；</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采购包2：不允许合同分包；</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采购包3：不允许合同分包；</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采购包4：不允许合同分包；</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采购包5：不允许合同分包；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p>
        </w:tc>
        <w:tc>
          <w:tcPr>
            <w:tcW w:w="69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10.8-（1）</w:t>
            </w:r>
          </w:p>
        </w:tc>
        <w:tc>
          <w:tcPr>
            <w:tcW w:w="4012" w:type="pct"/>
            <w:vAlign w:val="center"/>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p>
        </w:tc>
        <w:tc>
          <w:tcPr>
            <w:tcW w:w="69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12.1</w:t>
            </w:r>
          </w:p>
        </w:tc>
        <w:tc>
          <w:tcPr>
            <w:tcW w:w="4012" w:type="pct"/>
            <w:vAlign w:val="center"/>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确定中标候选人名单：</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采购包1：1名</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采购包2：1名</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采购包3：1名</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采购包4：1名</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采购包5：1名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9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69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12.2</w:t>
            </w:r>
          </w:p>
        </w:tc>
        <w:tc>
          <w:tcPr>
            <w:tcW w:w="4012" w:type="pct"/>
            <w:vAlign w:val="center"/>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本项目中标人的确定（以采购包为单位）：</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（1） 采购人应在政府采购招投标管理办法规定的时限内确定中标人。</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（2）若出现中标候选人并列情形，则按照下列方式确定中标人：</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①招标文件规定的方式：</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中标候选人按照综合评审总得分由高到低顺序排列推荐。b.综合评审总得分相同的，按照经评审最后报价（即经政府采购优惠政策进行价格扣除后的最后报价）由低到高顺序推荐。c.综合评审总得分且经评审最后报价（即经政府采购优惠政策进行价格扣除后的最后报价）仍然相同的，按照技术指标优劣顺序推荐。d.经前述顺序处理仍然并列相同的，则通过随机抽取方式确定优先顺序推荐。</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②若本款第①点规定方式为“无”，则按照下列方式确定：</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③若本款第①、②点规定方式均为“无”，则按照下列方式确定：随机抽取。</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（3）本项目确定的中标人家数：</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采购包1：1名</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采购包2：1名</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采购包3：1名</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采购包4：1名</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采购包5：1名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p>
        </w:tc>
        <w:tc>
          <w:tcPr>
            <w:tcW w:w="69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13.2</w:t>
            </w:r>
          </w:p>
        </w:tc>
        <w:tc>
          <w:tcPr>
            <w:tcW w:w="4012" w:type="pct"/>
            <w:vAlign w:val="center"/>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w:t>
            </w:r>
          </w:p>
        </w:tc>
        <w:tc>
          <w:tcPr>
            <w:tcW w:w="69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15.1-（2）</w:t>
            </w:r>
          </w:p>
        </w:tc>
        <w:tc>
          <w:tcPr>
            <w:tcW w:w="4012" w:type="pct"/>
            <w:vAlign w:val="center"/>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w:t>
            </w:r>
          </w:p>
        </w:tc>
        <w:tc>
          <w:tcPr>
            <w:tcW w:w="69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15.4</w:t>
            </w:r>
          </w:p>
        </w:tc>
        <w:tc>
          <w:tcPr>
            <w:tcW w:w="4012" w:type="pct"/>
            <w:vAlign w:val="center"/>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招标文件的质疑</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（1）潜在投标人可在质疑时效期间内对招标文件以书面形式提出质疑。</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（2）质疑时效期间：应在依法获取招标文件之日起7个工作日内向 福建久和工程咨询有限公司 提出，依法获取招标文件的时间以福建省政府采购网上公开信息系统记载的为准。</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9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w:t>
            </w:r>
          </w:p>
        </w:tc>
        <w:tc>
          <w:tcPr>
            <w:tcW w:w="69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16.1</w:t>
            </w:r>
          </w:p>
        </w:tc>
        <w:tc>
          <w:tcPr>
            <w:tcW w:w="4012" w:type="pct"/>
            <w:vAlign w:val="center"/>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监督管理部门： 三明市财政局采购监督管理办公室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w:t>
            </w:r>
          </w:p>
        </w:tc>
        <w:tc>
          <w:tcPr>
            <w:tcW w:w="69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18.1</w:t>
            </w:r>
          </w:p>
        </w:tc>
        <w:tc>
          <w:tcPr>
            <w:tcW w:w="4012" w:type="pct"/>
            <w:vAlign w:val="center"/>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财政部和福建省财政厅指定的政府采购信息发布媒体（以下简称：“指定媒体”）：</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（1）中国政府采购网，网址www.ccgp.gov.cn。</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（2）中国政府采购网福建分网（福建省政府采购网），网址zfcg.czt.fujian.gov.cn。</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w:t>
            </w:r>
          </w:p>
        </w:tc>
        <w:tc>
          <w:tcPr>
            <w:tcW w:w="69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19</w:t>
            </w:r>
          </w:p>
        </w:tc>
        <w:tc>
          <w:tcPr>
            <w:tcW w:w="4012" w:type="pct"/>
            <w:vAlign w:val="center"/>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其他事项：</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(1)本项目代理服务费：</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本项目收取代理服务费</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代理服务费用收取对象：中标/成交供应商</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代理服务费收费标准：按差额定率累进法计算，合同包成交金额（万元）：【0-100万元】的按成交金额的1.5％收取；【100-500万元】的按成交金额的1.1%收取；【500-1000万元】的按成交金额的0.8%收取。</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(2)其他：</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7" w:type="pct"/>
            <w:gridSpan w:val="2"/>
            <w:vAlign w:val="center"/>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c>
          <w:tcPr>
            <w:tcW w:w="4012" w:type="pct"/>
            <w:vAlign w:val="center"/>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后有投标人须知前附表2，请勿遗漏。</w:t>
            </w:r>
          </w:p>
        </w:tc>
      </w:tr>
    </w:tbl>
    <w:p>
      <w:pPr>
        <w:pStyle w:val="8"/>
        <w:spacing w:line="360" w:lineRule="auto"/>
        <w:jc w:val="both"/>
        <w:outlineLvl w:val="2"/>
        <w:rPr>
          <w:rFonts w:hint="eastAsia" w:ascii="黑体" w:hAnsi="黑体" w:eastAsia="黑体" w:cs="黑体"/>
          <w:b/>
          <w:color w:val="auto"/>
          <w:sz w:val="24"/>
          <w:szCs w:val="24"/>
          <w:highlight w:val="none"/>
        </w:rPr>
      </w:pPr>
    </w:p>
    <w:p>
      <w:pPr>
        <w:pStyle w:val="8"/>
        <w:spacing w:line="360" w:lineRule="auto"/>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二、投标人须知前附表2</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6"/>
        <w:gridCol w:w="8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4529"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4529"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（1）电子招标投标活动的专门规定适用本项目电子招标投标活动。</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（2）将招标文件</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 的内容修正为下列内容：</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 后适用本项目的电子招标投标活动。</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①电子招标投标活动的具体操作流程以福建省政府采购网上公开信息系统设定的为准。</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②关于电子投标文件：</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a.投标人应按照福建省政府采购网上公开信息系统设定的评审节点编制电子投标文件，否则资格审查小组、评标委员会将按照不利于投标人的内容进行认定。</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③关于证明材料或资料：</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④关于“全称”、“投标人代表签字”及“加盖单位公章”：</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a.在电子投标文件中，涉及“全称”和“投标人代表签字”的内容可使用打字录入方式完成。</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b.在电子投标文件中，涉及“加盖单位公章”的内容应使用投标人的CA证书完成，否则投标无效。</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c.在电子投标文件中，若投标人按照本增列内容第④点第b项规定加盖其单位公章，则出现无全称、或投标人代表未签字等情形，不视为投标无效。</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⑤关于投标人的CA证书：</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a.投标人的CA证书应在系统规定时间内使用CA证书进行电子投标文件的解密操作，逾期未解密的视为放弃投标。</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b.投标人的CA证书可采用信封（包括但不限于：信封、档案袋、文件袋等）作为外包装进行单独包装。外包装密封、不密封皆可。</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c.投标人的CA证书或外包装应标记“项目名称、项目编号、投标人的全称”等内容，以方便识别、使用。</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d.投标人的CA证书应能正常、有效使用，否则产生不利后果由投标人承担责任。</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⑥关于投标截止时间过后</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a.未按招标文件规定提交投标保证金的，其投标将按无效投标处理。</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b.有下列情形之一的，其投标无效,其保证金不予退还或通过投标保函进行索赔：</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b1不同投标人的电子投标文件具有相同内部识别码；</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b2不同投标人的投标保证金从同一单位或个人的账户转出；</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b3投标人的投标保证金同一采购包下有其他投标人提交的投标保证金；</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b4不同投标人存在串通投标的其他情形。</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⑧其他：</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w:t>
            </w:r>
          </w:p>
        </w:tc>
      </w:tr>
    </w:tbl>
    <w:p>
      <w:pPr>
        <w:pStyle w:val="8"/>
        <w:rPr>
          <w:rFonts w:hint="eastAsia" w:ascii="黑体" w:hAnsi="黑体" w:eastAsia="黑体" w:cs="黑体"/>
          <w:b/>
          <w:color w:val="auto"/>
          <w:sz w:val="32"/>
          <w:szCs w:val="32"/>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1"/>
        <w:rPr>
          <w:rFonts w:hint="eastAsia" w:ascii="黑体" w:hAnsi="黑体" w:eastAsia="黑体" w:cs="黑体"/>
          <w:color w:val="auto"/>
          <w:highlight w:val="none"/>
        </w:rPr>
      </w:pPr>
      <w:r>
        <w:rPr>
          <w:rFonts w:hint="eastAsia" w:ascii="黑体" w:hAnsi="黑体" w:eastAsia="黑体" w:cs="黑体"/>
          <w:b/>
          <w:color w:val="auto"/>
          <w:sz w:val="32"/>
          <w:szCs w:val="32"/>
          <w:highlight w:val="none"/>
        </w:rPr>
        <w:t>第三章 投标人须知</w:t>
      </w:r>
    </w:p>
    <w:p>
      <w:pPr>
        <w:pStyle w:val="8"/>
        <w:spacing w:line="360" w:lineRule="auto"/>
        <w:ind w:firstLine="480"/>
        <w:jc w:val="both"/>
        <w:outlineLvl w:val="2"/>
        <w:rPr>
          <w:rFonts w:hint="eastAsia" w:ascii="黑体" w:hAnsi="黑体" w:eastAsia="黑体" w:cs="黑体"/>
          <w:b/>
          <w:color w:val="auto"/>
          <w:sz w:val="24"/>
          <w:szCs w:val="24"/>
          <w:highlight w:val="none"/>
        </w:rPr>
      </w:pPr>
    </w:p>
    <w:p>
      <w:pPr>
        <w:pStyle w:val="8"/>
        <w:spacing w:line="360" w:lineRule="auto"/>
        <w:ind w:firstLine="480"/>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一、总则</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1、适用范围</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1.1适用于招标文件载明项目的政府采购活动（以下简称：“本次采购活动”）。</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2、定义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2.1“采购标的”指招标文件载明的需要采购的货物或服务。</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2.2“潜在投标人”指按照招标文件第一章第7条规定获取招标文件且有意向参加本项目投标的供应商。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2.3“投标人”指按照招标文件第一章第7条规定获取招标文件并参加本项目投标的供应商。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2.4“单位负责人”指单位法定代表人或法律、法规规定代表单位行使职权的主要负责人。</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2.5“投标人代表”指投标人的单位负责人或“单位负责人授权书”中载明的接受授权方。</w:t>
      </w:r>
    </w:p>
    <w:p>
      <w:pPr>
        <w:pStyle w:val="8"/>
        <w:spacing w:line="360" w:lineRule="auto"/>
        <w:ind w:firstLine="480"/>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二、投标人</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3、合格投标人</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3.1一般规定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（2）投标人的资格要求：详见招标文件第一章。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3.2若本项目接受联合体投标且投标人为联合体，则联合体各方应遵守本章第3.1条规定，同时还应遵守下列规定：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（1）联合体各方应提交联合体协议，联合体协议应符合招标文件规定。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（2）联合体各方不得再单独参加或与其他供应商另外组成联合体参加同一合同项下的投标。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（3）联合体各方应共同与采购人签订政府采购合同，就政府采购合同约定的事项对采购人承担连带责任。</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（5）联合体一方放弃中标的，视为联合体整体放弃中标，联合体各方承担连带责任。</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（6）如本项目不接受联合体投标而投标人为联合体的，或者本项目接受联合体投标但投标人组成的联合体不符合本章第3.2条规定的，投标无效。</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4、投标费用</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4.1除招标文件另有规定外，投标人应自行承担其参加本项目投标所涉及的一切费用。</w:t>
      </w:r>
    </w:p>
    <w:p>
      <w:pPr>
        <w:pStyle w:val="8"/>
        <w:spacing w:line="360" w:lineRule="auto"/>
        <w:ind w:firstLine="480"/>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三、招标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5、招标文件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5.1招标文件由下述部分组成：</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（1）投标邀请</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（2）投标人须知前附表（表1、2）</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（3）投标人须知</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（4）资格审查与评标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（5）招标内容及要求</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（6）政府采购合同（参考文本）</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（7）电子投标文件格式</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（8）按照招标文件规定作为招标文件组成部分的其他内容（若有）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5.2招标文件的澄清或修改</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 福建久和工程咨询有限公司 可对已发出的招标文件进行必要的澄清或修改，但不得对招标文件载明的采购标的和投标人的资格要求进行改变。</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（2）除本章第5.2条第（3）款规定情形外，澄清或修改的内容可能影响电子投标文件编制的， 福建久和工程咨询有限公司 将在投标截止时间至少15个日历日前，在招标文件载明的指定媒体以更正公告的形式发布澄清或修改的内容。不足15个日历日的， 福建久和工程咨询有限公司 将顺延投标截止时间及开标时间， 福建久和工程咨询有限公司 和投标人受原投标截止时间及开标时间制约的所有权利和义务均延长至新的投标截止时间及开标时间。</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（3）澄清或修改的内容可能改变招标文件载明的采购标的和投标人的资格要求的，本次采购活动结束， 福建久和工程咨询有限公司 将依法组织后续采购活动（包括但不限于：重新招标、采用其他方式采购等）。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6、现场考察或开标前答疑会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6.1是否组织现场考察或召开开标前答疑会：详见招标文件第二章。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7、更正公告</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7.1若 福建久和工程咨询有限公司 发布更正公告，则更正公告及其所发布的内容或信息（包括但不限于：招标文件的澄清或修改、现场考察或答疑会的有关事宜等）作为招标文件组成部分，对投标人具有约束力。</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7.2更正公告作为 福建久和工程咨询有限公司 通知所有潜在投标人的书面形式。</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8、终止公告</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8.1若出现因重大变故导致采购任务取消情形， 福建久和工程咨询有限公司 可终止招标并发布终止公告。</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8.2终止公告作为 福建久和工程咨询有限公司 通知所有潜在投标人的书面形式。</w:t>
      </w:r>
    </w:p>
    <w:p>
      <w:pPr>
        <w:pStyle w:val="8"/>
        <w:spacing w:line="360" w:lineRule="auto"/>
        <w:ind w:firstLine="480"/>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四、投标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9、投标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9.1投标人可对招标文件载明的全部或部分采购包进行投标。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9.2投标人应对同一个采购包内的所有内容进行完整投标，否则投标无效。</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9.3投标人代表只能接受一个投标人的授权参加投标，否则投标无效。</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9.4单位负责人为同一人或存在直接控股、管理关系的不同供应商，不得同时参加同一合同项下的投标，否则投标无效。</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9.7有下列情形之一的，视为投标人串通投标，其投标无效：</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（1）不同投标人的电子投标文件由同一单位或个人编制；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（2）不同投标人委托同一单位或个人办理投标事宜；</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（3）不同投标人的电子投标文件载明的项目管理成员或联系人员为同一人；</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（4）不同投标人的电子投标文件异常一致或投标报价呈规律性差异；</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（5）不同投标人的电子投标文件相互混装；</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（6）不同投标人的投标保证金从同一单位或个人的账户转出；</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（7）有关法律、法规和规章及招标文件规定的其他串通投标情形。</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10、电子投标文件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10.1电子投标文件的编制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（1）投标人应先仔细阅读招标文件的全部内容后，再进行电子投标文件的编制。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（2）电子投标文件应按照本章第10.2条规定编制其组成部分。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10.2电子投标文件由下述部分组成：</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（1）资格及资信证明部分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①投标函</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②投标人的资格及资信证明文件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③投标保证金</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（2）报价部分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①开标一览表</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②投标分项报价表</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③招标文件规定的价格扣除证明材料（若有）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④招标文件规定的加分证明材料（若有）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（3）技术商务部分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①标的说明一览表</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②技术和服务要求响应表</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③商务条件响应表</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④投标人提交的其他资料（若有）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⑤招标文件规定作为电子投标文件组成部分的其他内容（若有）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10.3电子投标文件的语言</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（1）除招标文件另有规定外，电子投标文件应使用中文文本，若有不同文本，以中文文本为准。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10.4投标文件的份数：详见招标文件第二章。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10.5电子投标文件的格式</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（1）除招标文件另有规定外，电子投标文件应使用招标文件第七章规定的格式。</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（2）除招标文件另有规定外，电子投标文件应使用不能擦去的墨料或墨水打印、书写或复印。</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（3）除招标文件另有规定外，电子投标文件应使用人民币作为计量货币。</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（4）除招标文件另有规定外，签署、盖章应遵守下列规定：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①电子投标文件应加盖投标人的单位公章。若投标人代表为单位授权的委托代理人，应提供“单位授权书”。</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②电子投标文件应没有涂改或行间插字，除非这些改动是根据 福建久和工程咨询有限公司 的指示进行的，或是为改正投标人造成的应修改的错误而进行的。若有前述改动，应按照下列规定之一对改动处进行处理：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a.投标人代表签字确认；</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b.加盖投标人的单位公章或校正章。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10.6投标报价</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（1）投标报价超出最高限价将导致投标无效。</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（2）最高限价由采购人根据价格测算情况，在预算金额的额度内合理设定。最高限价不得超出预算金额。</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10.7分包</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（1）是否允许中标人将本项目的非主体、非关键性工作进行分包：详见招标文件第二章。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（3）招标文件允许中标人将非主体、非关键性工作进行分包的项目，有下列情形之一的，中标人不得分包：</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①电子投标文件中未载明分包承担主体；</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②电子投标文件载明的分包承担主体不具备相应资质条件；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③电子投标文件载明的分包承担主体拟再次分包；</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④享受中小企业扶持政策获得政府采购合同的，小微企业不得将合同分包给大中型企业，中型企业不得将合同分包给大型企业。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10.8投标有效期</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（1）招标文件载明的投标有效期：详见招标文件第二章。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（2）电子投标文件承诺的投标有效期不得少于招标文件载明的投标有效期，否则投标无效。</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（3）根据本次采购活动的需要， 福建久和工程咨询有限公司 可于投标有效期届满之前书面要求投标人延长投标有效期，投标人应在 福建久和工程咨询有限公司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10.9投标保证金</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（1）投标保证金作为投标人按照招标文件规定履行相应投标责任、义务的约束及担保。</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（2）投标人以电子保函形式提交投标保证金的，保函的有效期应等于或长于电子投标文件承诺的投标有效期，否则投标无效。</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（3）提交</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8"/>
        <w:spacing w:line="360" w:lineRule="auto"/>
        <w:ind w:firstLine="48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③其他形式：</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④若本项目接受联合体投标且投标人为联合体，则联合体中的牵头方应按照本章第10.9条第（3）款第①、②、③点规定提交投标保证金。</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※除招标文件另有规定外，未按照上述规定提交投标保证金将导致资格审查不合格。</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（4）退还</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①在投标截止时间前撤回已提交的电子投标文件的投标人，其投标保证金将在 福建久和工程咨询有限公司 收到投标人书面撤回通知之日起5个工作日内退回原账户。</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②未中标人的投标保证金将在中标通知书发出之日起5个工作日内退回原账户。</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③中标人的投标保证金将在政府采购合同签订之日起5个工作日内退回原账户；合同签订之日以福建省政府采购网上公开信息系统记载的为准。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④终止招标的， 福建久和工程咨询有限公司 将在终止公告发布之日起5个工作日内退回已收取的投标保证金及其在银行产生的孳息。</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⑤除招标文件另有规定外，质疑或投诉涉及的投标人，若投标保证金尚未退还，则待质疑或投诉处理完毕后不计利息原额退还。</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※本章第10.9条第（4）款第①、②、③点规定的投标保证金退还时限不包括因投标人自身原因导致无法及时退还而增加的时间。</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（6）有下列情形之一的，投标保证金将不予退还或通过投标保函进行索赔：</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①投标人串通投标；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②投标人提供虚假材料；</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③投标人采取不正当手段诋毁、排挤其他投标人；</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④投标截止时间后，投标人在投标有效期内撤销电子投标文件；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⑤招标文件规定的其他不予退还情形；</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⑥中标人有下列情形之一的：</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a.除不可抗力外，因中标人自身原因未在中标通知书要求的期限内与采购人签订政府采购合同；</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b.未按照招标文件、投标文件的约定签订政府采购合同或提交履约保证金。</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※若上述投标保证金不予退还情形给采购人（采购代理机构）造成损失，则投标人还要承担相应的赔偿责任。</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10.10电子投标文件的提交</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（1）一个投标人只能提交一个电子投标文件，并按照招标文件第一章规定在系统上完成上传、解密操作。</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10.11电子投标文件的补充、修改或撤回</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（1）投标截止时间前，投标人可对所提交的电子投标文件进行补充、修改或撤回，并书面通知 福建久和工程咨询有限公司 。</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（2）补充、修改的内容应按照本章第10.5条第（4）款规定进行签署、盖章，并按照本章第10.10条规定提交，否则将被拒收。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※按照上述规定提交的补充、修改内容作为电子投标文件组成部分。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10.12除招标文件另有规定外，有下列情形之一的，投标无效：</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（1）电子投标文件未按照招标文件要求签署、盖章；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（2）不符合招标文件中规定的资格要求；</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（3）投标报价超过招标文件中规定的预算金额或最高限价；</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（4）电子投标文件含有采购人不能接受的附加条件；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（5）有关法律、法规和规章及招标文件规定的其他无效情形。</w:t>
      </w:r>
    </w:p>
    <w:p>
      <w:pPr>
        <w:pStyle w:val="8"/>
        <w:spacing w:line="360" w:lineRule="auto"/>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五、开标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11、开标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11.1 福建久和工程咨询有限公司 将在招标文件载明的开标时间及地点主持召开开标会，并邀请投标人参加。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11.2开标会的主持人、唱标人、记录人及其他工作人员（若有）均由 福建久和工程咨询有限公司 派出，现场监督人员（若有）可由有关方面派出。</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11.4开标会应遵守下列规定：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（5）若投标人未到开标现场参加开标会，也未通过远程参加开标会的，视同认可开标结果。</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福建久和工程咨询有限公司 提出任何疑义或要求（包括质疑）。</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11.5投标截止时间后，参加投标的投标人不足三家的，不进行开标。同时，本次采购活动结束， 福建久和工程咨询有限公司 将依法组织后续采购活动（包括但不限于：重新招标、采用其他方式采购等）。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11.6投标截止时间后撤销投标的处理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投标截止时间后，投标人在投标有效期内撤销投标的，其撤销投标的行为无效。</w:t>
      </w:r>
    </w:p>
    <w:p>
      <w:pPr>
        <w:pStyle w:val="8"/>
        <w:spacing w:line="360" w:lineRule="auto"/>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六、中标与政府采购合同</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12、中标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12.1本项目推荐的中标候选人家数：详见招标文件第二章。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12.2本项目中标人的确定：详见招标文件第二章。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12.3中标公告</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（1）中标人确定之日起2个工作日内， 福建久和工程咨询有限公司 将在招标文件载明的指定媒体以中标公告的形式发布中标结果。</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（2）中标公告的公告期限为1个工作日。</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12.4中标通知书</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（1）中标公告发布的同时， 福建久和工程咨询有限公司 将向中标人发出中标通知书。</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（2）中标通知书发出后，采购人不得违法改变中标结果，中标人无正当理由不得放弃中标。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13、政府采购合同</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13.2签订时限：详见须知前附表1的13.2。</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13.3政府采购合同的履行、违约责任和解决争议的方法等适用民法典。</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13.4采购人与中标人应根据政府采购合同的约定依法履行合同义务。</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13.5政府采购合同履行过程中，采购人若需追加与合同标的相同的货物或服务，则追加采购金额不得超过原合同采购金额的10%。</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13.6中标人在政府采购合同履行过程中应遵守有关法律、法规和规章的强制性规定（即使前述强制性规定有可能在招标文件中未予列明）。</w:t>
      </w:r>
    </w:p>
    <w:p>
      <w:pPr>
        <w:pStyle w:val="8"/>
        <w:spacing w:line="360" w:lineRule="auto"/>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七、询问、质疑与投诉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14、询问</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14.1潜在投标人或投标人对本次采购活动的有关事项若有疑问，可向 福建久和工程咨询有限公司 提出询问， 福建久和工程咨询有限公司 将按照政府采购法及实施条例的有关规定进行答复。</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15、质疑</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（2）质疑人应按照招标文件第二章规定方式提交质疑函。</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（3）质疑函应包括下列主要内容：</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①质疑人的基本信息，至少包括：全称、地址、邮政编码等；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②所质疑项目的基本信息，至少包括：项目编号、项目名称等；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③所质疑的具体事项（以下简称：“质疑事项”）；</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④针对质疑事项提出的明确请求，前述明确请求指质疑人提出质疑的目的以及希望 福建久和工程咨询有限公司 对其质疑作出的处理结果，如：暂停招标投标活动、修改招标文件、停止或纠正违法违规行为、中标结果无效、废标、重新招标等；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⑤针对质疑事项导致质疑人自身权益受到损害的必要证明材料，至少包括：</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a.质疑人代表的身份证明材料：</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a2若本项目接受自然人投标且质疑人为自然人的，提供本人的身份证复印件。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b.其他证明材料（即事实依据和必要的法律依据）包括但不限于下列材料：</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b1所质疑的具体事项是与自己有利害关系的证明材料；</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b2质疑函所述事实存在的证明材料，如：采购文件、采购过程或中标结果违法违规或不符合采购文件要求等证明材料；</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b3依法应终止采购程序的证明材料；</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b4应重新采购的证明材料；</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b5采购文件、采购过程或中标、成交结果损害自己合法权益的证明材料等；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⑥质疑人代表及其联系方法的信息，至少包括：姓名、手机、电子信箱、邮寄地址等。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⑦提出质疑的日期。</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※质疑人为法人或其他组织的，质疑函应由单位负责人或委托代理人签字或盖章，并加盖投标人的单位公章。质疑人为自然人的，质疑函应由本人签字。</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15.2对不符合本章第15.1条规定的质疑，将按照下列规定进行处理：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（1）不符合其中第（1）、（2）条规定的，书面告知质疑人不予受理及其理由。</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（2）不符合其中第（3）条规定的，书面告知质疑人修改、补充后在规定时限内重新提交质疑函。</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15.3对符合本章第15.1条规定的质疑，将按照政府采购法及实施条例、政府采购质疑和投诉办法的有关规定进行答复。</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15.4招标文件的质疑：详见招标文件第二章。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16、投诉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16.2投诉应有明确的请求和必要的证明材料，投诉的事项不得超出已质疑事项的范围。</w:t>
      </w:r>
    </w:p>
    <w:p>
      <w:pPr>
        <w:pStyle w:val="8"/>
        <w:spacing w:line="360" w:lineRule="auto"/>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八、政府采购政策</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17、政府采购政策由财政部根据国家的经济和社会发展政策并会同国家有关部委制定，包括但不限于下列具体政策要求：</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17.1进口产品指通过中国海关报关验放进入中国境内且产自关境外的产品，其中：</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（2）凡在海关特殊监管区域内企业生产或加工（包括从境外进口料件）销往境内其他地区的产品，不作为政府采购项下进口产品。</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（3）对从境外进入海关特殊监管区域，再经办理报关手续后从海关特殊监管区进入境内其他地区的产品，认定为进口产品。</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（4）招标文件列明不允许或未列明允许进口产品参加投标的，均视为拒绝进口产品参加投标。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（1）中小企业指符合下列条件的中型、小型、微型企业：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②符合中小企业划分标准的个体工商户，在政府采购活动中视同中小企业。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（2）在政府采购活动中，供应商提供的货物、工程或者服务符合下列情形的，享受本办法规定的中小企业扶持政策：</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①在货物采购项目中，货物由中小企业制造，即货物由中小企业生产且使用该中小企业商号或者注册商标；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②在工程采购项目中，工程由中小企业承建，即工程施工单位为中小企业；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③在服务采购项目中，服务由中小企业承接，即提供服务的人员为中小企业依照《中华人民共和国劳动合同法》订立劳动合同的从业人员。</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在货物采购项目中，供应商提供的货物既有中小企业制造货物，也有大型企业制造货物的，不享受本办法规定的中小企业扶持政策。</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以联合体形式参加政府采购活动，联合体各方均为中小企业的，联合体视同中小企业。其中，联合体各方均为小微企业的，联合体视同小微企业。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（3）投标人应当按照招标文件明确的采购标的对应行业的划分标准出具中小企业声明函。</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①监狱企业参加采购活动时，应提供由省级以上监狱管理局、戒毒管理局（含新疆生产建设兵团）出具的属于监狱企业的证明文件。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②监狱企业视同小型、微型企业。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（5）残疾人福利性单位指同时符合下列条件的单位：</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①安置的残疾人占本单位在职职工人数的比例不低于25%（含25%），并且安置的残疾人人数不少于10人（含10人）；</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②依法与安置的每位残疾人签订了一年以上（含一年）的劳动合同或服务协议；</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③为安置的每位残疾人按月足额缴纳了基本养老保险、基本医疗保险、失业保险、工伤保险和生育保险等社会保险费；</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④通过银行等金融机构向安置的每位残疾人，按月支付了不低于单位所在区县适用的经省级人民政府批准的月最低工资标准的工资；</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⑤提供本单位制造的货物、承担的工程或服务，或提供其他残疾人福利性单位制造的货物（不包括使用非残疾人福利性单位注册商标的货物）。</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17.4信用记录指由财政部确定的有关网站提供的相关主体信用信息。信用记录的查询及使用应符合财政部文件（财库[2016]125号）规定。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17.5为落实政府采购政策需满足的要求：详见招标文件第一章。</w:t>
      </w:r>
    </w:p>
    <w:p>
      <w:pPr>
        <w:pStyle w:val="8"/>
        <w:spacing w:line="360" w:lineRule="auto"/>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九、本项目的有关信息</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18.1指定媒体：详见招标文件第二章。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18.2本项目的潜在投标人或投标人应随时关注指定媒体，否则产生不利后果由其自行承担。</w:t>
      </w:r>
    </w:p>
    <w:p>
      <w:pPr>
        <w:pStyle w:val="8"/>
        <w:spacing w:line="360" w:lineRule="auto"/>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十、其他事项</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19、其他事项：</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19.2其他：详见招标文件第二章。</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1"/>
        <w:rPr>
          <w:rFonts w:hint="eastAsia" w:ascii="黑体" w:hAnsi="黑体" w:eastAsia="黑体" w:cs="黑体"/>
          <w:color w:val="auto"/>
          <w:sz w:val="32"/>
          <w:szCs w:val="32"/>
          <w:highlight w:val="none"/>
        </w:rPr>
      </w:pPr>
      <w:r>
        <w:rPr>
          <w:rFonts w:hint="eastAsia" w:ascii="黑体" w:hAnsi="黑体" w:eastAsia="黑体" w:cs="黑体"/>
          <w:b/>
          <w:color w:val="auto"/>
          <w:sz w:val="32"/>
          <w:szCs w:val="32"/>
          <w:highlight w:val="none"/>
        </w:rPr>
        <w:t>第四章 资格审查与评标</w:t>
      </w:r>
    </w:p>
    <w:p>
      <w:pPr>
        <w:pStyle w:val="8"/>
        <w:jc w:val="both"/>
        <w:outlineLvl w:val="2"/>
        <w:rPr>
          <w:rFonts w:hint="eastAsia" w:ascii="黑体" w:hAnsi="黑体" w:eastAsia="黑体" w:cs="黑体"/>
          <w:b/>
          <w:color w:val="auto"/>
          <w:sz w:val="28"/>
          <w:highlight w:val="none"/>
        </w:rPr>
      </w:pPr>
    </w:p>
    <w:p>
      <w:pPr>
        <w:pStyle w:val="8"/>
        <w:spacing w:line="360" w:lineRule="auto"/>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一、资格审查</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1、开标结束后，由 福建久和工程咨询有限公司 负责资格审查小组的组建及资格审查工作的组织。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1.1资格审查小组</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小组由3人组成，并负责具体审查事务，其中由采购人派出的采购人代表至少1人，由福建久和工程咨询有限公司派出的工作人员至少1人，其余1人可为采购人代表或福建久和工程咨询有限公司的工作人员。</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1.2资格审查的依据是招标文件和电子投标文件。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1.3资格审查的范围及内容：电子投标文件（资格及资信证明部分），具体如下：</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（1）“投标函”；</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（2）“投标人的资格及资信证明文件”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①一般资格证明文件：</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采购包1：</w:t>
      </w:r>
    </w:p>
    <w:tbl>
      <w:tblPr>
        <w:tblStyle w:val="5"/>
        <w:tblW w:w="4893" w:type="pct"/>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1"/>
        <w:gridCol w:w="1516"/>
        <w:gridCol w:w="74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资格审查要求概况</w:t>
            </w:r>
          </w:p>
        </w:tc>
        <w:tc>
          <w:tcPr>
            <w:tcW w:w="386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单位授权书</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营业执照等证明文件</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提供财务状况报告(财务报告、或资信证明）</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依法缴纳税收证明材料</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依法缴纳社会保障资金证明材料</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具备履行合同所必需设备和专业技术能力的声明函(若有)</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参加采购活动前三年内在经营活动中没有重大违法记录的声明</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信用记录查询结果</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中小企业声明函（以资格条件落实中小企业扶持政策时适用 ）</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联合体协议（若有）</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采购包2：</w:t>
      </w:r>
    </w:p>
    <w:tbl>
      <w:tblPr>
        <w:tblStyle w:val="5"/>
        <w:tblW w:w="4893" w:type="pct"/>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1"/>
        <w:gridCol w:w="1516"/>
        <w:gridCol w:w="74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资格审查要求概况</w:t>
            </w:r>
          </w:p>
        </w:tc>
        <w:tc>
          <w:tcPr>
            <w:tcW w:w="386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单位授权书</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营业执照等证明文件</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提供财务状况报告(财务报告、或资信证明）</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依法缴纳税收证明材料</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依法缴纳社会保障资金证明材料</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具备履行合同所必需设备和专业技术能力的声明函(若有)</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参加采购活动前三年内在经营活动中没有重大违法记录的声明</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信用记录查询结果</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中小企业声明函（以资格条件落实中小企业扶持政策时适用 ）</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w:t>
            </w:r>
          </w:p>
        </w:tc>
        <w:tc>
          <w:tcPr>
            <w:tcW w:w="7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联合体协议（若有）</w:t>
            </w:r>
          </w:p>
        </w:tc>
        <w:tc>
          <w:tcPr>
            <w:tcW w:w="386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采购包3：</w:t>
      </w:r>
    </w:p>
    <w:tbl>
      <w:tblPr>
        <w:tblStyle w:val="5"/>
        <w:tblW w:w="4927" w:type="pct"/>
        <w:tblInd w:w="11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4"/>
        <w:gridCol w:w="1517"/>
        <w:gridCol w:w="75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7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资格审查要求概况</w:t>
            </w:r>
          </w:p>
        </w:tc>
        <w:tc>
          <w:tcPr>
            <w:tcW w:w="387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7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单位授权书</w:t>
            </w:r>
          </w:p>
        </w:tc>
        <w:tc>
          <w:tcPr>
            <w:tcW w:w="387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7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营业执照等证明文件</w:t>
            </w:r>
          </w:p>
        </w:tc>
        <w:tc>
          <w:tcPr>
            <w:tcW w:w="387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7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提供财务状况报告(财务报告、或资信证明）</w:t>
            </w:r>
          </w:p>
        </w:tc>
        <w:tc>
          <w:tcPr>
            <w:tcW w:w="387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p>
        </w:tc>
        <w:tc>
          <w:tcPr>
            <w:tcW w:w="7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依法缴纳税收证明材料</w:t>
            </w:r>
          </w:p>
        </w:tc>
        <w:tc>
          <w:tcPr>
            <w:tcW w:w="387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p>
        </w:tc>
        <w:tc>
          <w:tcPr>
            <w:tcW w:w="7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依法缴纳社会保障资金证明材料</w:t>
            </w:r>
          </w:p>
        </w:tc>
        <w:tc>
          <w:tcPr>
            <w:tcW w:w="387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7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具备履行合同所必需设备和专业技术能力的声明函(若有)</w:t>
            </w:r>
          </w:p>
        </w:tc>
        <w:tc>
          <w:tcPr>
            <w:tcW w:w="387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p>
        </w:tc>
        <w:tc>
          <w:tcPr>
            <w:tcW w:w="7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参加采购活动前三年内在经营活动中没有重大违法记录的声明</w:t>
            </w:r>
          </w:p>
        </w:tc>
        <w:tc>
          <w:tcPr>
            <w:tcW w:w="387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w:t>
            </w:r>
          </w:p>
        </w:tc>
        <w:tc>
          <w:tcPr>
            <w:tcW w:w="7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信用记录查询结果</w:t>
            </w:r>
          </w:p>
        </w:tc>
        <w:tc>
          <w:tcPr>
            <w:tcW w:w="387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w:t>
            </w:r>
          </w:p>
        </w:tc>
        <w:tc>
          <w:tcPr>
            <w:tcW w:w="7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中小企业声明函（以资格条件落实中小企业扶持政策时适用 ）</w:t>
            </w:r>
          </w:p>
        </w:tc>
        <w:tc>
          <w:tcPr>
            <w:tcW w:w="387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w:t>
            </w:r>
          </w:p>
        </w:tc>
        <w:tc>
          <w:tcPr>
            <w:tcW w:w="7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联合体协议（若有）</w:t>
            </w:r>
          </w:p>
        </w:tc>
        <w:tc>
          <w:tcPr>
            <w:tcW w:w="3870"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采购包4：</w:t>
      </w:r>
    </w:p>
    <w:tbl>
      <w:tblPr>
        <w:tblStyle w:val="5"/>
        <w:tblW w:w="4863" w:type="pct"/>
        <w:tblInd w:w="14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2"/>
        <w:gridCol w:w="1517"/>
        <w:gridCol w:w="74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资格审查要求概况</w:t>
            </w:r>
          </w:p>
        </w:tc>
        <w:tc>
          <w:tcPr>
            <w:tcW w:w="387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单位授权书</w:t>
            </w:r>
          </w:p>
        </w:tc>
        <w:tc>
          <w:tcPr>
            <w:tcW w:w="3872"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营业执照等证明文件</w:t>
            </w:r>
          </w:p>
        </w:tc>
        <w:tc>
          <w:tcPr>
            <w:tcW w:w="3872"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提供财务状况报告(财务报告、或资信证明）</w:t>
            </w:r>
          </w:p>
        </w:tc>
        <w:tc>
          <w:tcPr>
            <w:tcW w:w="3872"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依法缴纳税收证明材料</w:t>
            </w:r>
          </w:p>
        </w:tc>
        <w:tc>
          <w:tcPr>
            <w:tcW w:w="3872"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依法缴纳社会保障资金证明材料</w:t>
            </w:r>
          </w:p>
        </w:tc>
        <w:tc>
          <w:tcPr>
            <w:tcW w:w="3872"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具备履行合同所必需设备和专业技术能力的声明函(若有)</w:t>
            </w:r>
          </w:p>
        </w:tc>
        <w:tc>
          <w:tcPr>
            <w:tcW w:w="3872"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参加采购活动前三年内在经营活动中没有重大违法记录的声明</w:t>
            </w:r>
          </w:p>
        </w:tc>
        <w:tc>
          <w:tcPr>
            <w:tcW w:w="3872"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信用记录查询结果</w:t>
            </w:r>
          </w:p>
        </w:tc>
        <w:tc>
          <w:tcPr>
            <w:tcW w:w="3872"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中小企业声明函（以资格条件落实中小企业扶持政策时适用 ）</w:t>
            </w:r>
          </w:p>
        </w:tc>
        <w:tc>
          <w:tcPr>
            <w:tcW w:w="3872"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联合体协议（若有）</w:t>
            </w:r>
          </w:p>
        </w:tc>
        <w:tc>
          <w:tcPr>
            <w:tcW w:w="3872"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采购包5：</w:t>
      </w:r>
    </w:p>
    <w:tbl>
      <w:tblPr>
        <w:tblStyle w:val="5"/>
        <w:tblW w:w="4863" w:type="pct"/>
        <w:tblInd w:w="14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4"/>
        <w:gridCol w:w="1517"/>
        <w:gridCol w:w="74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资格审查要求概况</w:t>
            </w:r>
          </w:p>
        </w:tc>
        <w:tc>
          <w:tcPr>
            <w:tcW w:w="387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单位授权书</w:t>
            </w:r>
          </w:p>
        </w:tc>
        <w:tc>
          <w:tcPr>
            <w:tcW w:w="3871"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营业执照等证明文件</w:t>
            </w:r>
          </w:p>
        </w:tc>
        <w:tc>
          <w:tcPr>
            <w:tcW w:w="3871"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提供财务状况报告(财务报告、或资信证明）</w:t>
            </w:r>
          </w:p>
        </w:tc>
        <w:tc>
          <w:tcPr>
            <w:tcW w:w="3871"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依法缴纳税收证明材料</w:t>
            </w:r>
          </w:p>
        </w:tc>
        <w:tc>
          <w:tcPr>
            <w:tcW w:w="3871"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依法缴纳社会保障资金证明材料</w:t>
            </w:r>
          </w:p>
        </w:tc>
        <w:tc>
          <w:tcPr>
            <w:tcW w:w="3871"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具备履行合同所必需设备和专业技术能力的声明函(若有)</w:t>
            </w:r>
          </w:p>
        </w:tc>
        <w:tc>
          <w:tcPr>
            <w:tcW w:w="3871"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参加采购活动前三年内在经营活动中没有重大违法记录的声明</w:t>
            </w:r>
          </w:p>
        </w:tc>
        <w:tc>
          <w:tcPr>
            <w:tcW w:w="3871"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信用记录查询结果</w:t>
            </w:r>
          </w:p>
        </w:tc>
        <w:tc>
          <w:tcPr>
            <w:tcW w:w="3871"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中小企业声明函（以资格条件落实中小企业扶持政策时适用 ）</w:t>
            </w:r>
          </w:p>
        </w:tc>
        <w:tc>
          <w:tcPr>
            <w:tcW w:w="3871"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w:t>
            </w:r>
          </w:p>
        </w:tc>
        <w:tc>
          <w:tcPr>
            <w:tcW w:w="79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联合体协议（若有）</w:t>
            </w:r>
          </w:p>
        </w:tc>
        <w:tc>
          <w:tcPr>
            <w:tcW w:w="3871"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※备注说明</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①投标人应根据自身实际情况提供上述资格要求的证明材料，格式可参考招标文件第七章提供。</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②投标人提供的相应证明材料复印件均应符合：内容完整、清晰、整洁，并由投标人加盖其单位公章。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②.其他资格证明文件：</w:t>
      </w: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w:t>
      </w:r>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rPr>
        <w:t>：</w:t>
      </w:r>
    </w:p>
    <w:tbl>
      <w:tblPr>
        <w:tblStyle w:val="5"/>
        <w:tblW w:w="4889" w:type="pct"/>
        <w:tblInd w:w="12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43"/>
        <w:gridCol w:w="7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2" w:hRule="atLeast"/>
        </w:trPr>
        <w:tc>
          <w:tcPr>
            <w:tcW w:w="111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资格审查要求概况</w:t>
            </w:r>
          </w:p>
        </w:tc>
        <w:tc>
          <w:tcPr>
            <w:tcW w:w="38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1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现场参与</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需携带材料</w:t>
            </w:r>
          </w:p>
        </w:tc>
        <w:tc>
          <w:tcPr>
            <w:tcW w:w="3887" w:type="pct"/>
            <w:vAlign w:val="center"/>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现场参与的</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代表均需随身携带本人身份证原件。如果</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代表不是单位负责人，</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代表还需提交《单位负责人授权书》（附单位负责人身份证复印件及被授权人身份证复印件）以便现场核查；</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代表应随身携带CA用于现场电子签到及解密电子版响应文件。</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采购包2：</w:t>
      </w:r>
    </w:p>
    <w:tbl>
      <w:tblPr>
        <w:tblStyle w:val="5"/>
        <w:tblW w:w="4885" w:type="pct"/>
        <w:tblInd w:w="13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43"/>
        <w:gridCol w:w="74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资格审查要求概况</w:t>
            </w:r>
          </w:p>
        </w:tc>
        <w:tc>
          <w:tcPr>
            <w:tcW w:w="388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现场参与</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需携带材料</w:t>
            </w:r>
          </w:p>
        </w:tc>
        <w:tc>
          <w:tcPr>
            <w:tcW w:w="3886" w:type="pct"/>
            <w:vAlign w:val="center"/>
          </w:tcPr>
          <w:p>
            <w:pPr>
              <w:pStyle w:val="8"/>
              <w:spacing w:line="360" w:lineRule="auto"/>
              <w:jc w:val="center"/>
              <w:rPr>
                <w:color w:val="auto"/>
                <w:highlight w:val="none"/>
              </w:rPr>
            </w:pPr>
            <w:r>
              <w:rPr>
                <w:rFonts w:hint="eastAsia" w:ascii="黑体" w:hAnsi="黑体" w:eastAsia="黑体" w:cs="黑体"/>
                <w:color w:val="auto"/>
                <w:sz w:val="24"/>
                <w:szCs w:val="24"/>
                <w:highlight w:val="none"/>
              </w:rPr>
              <w:t>现场参与的</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代表均需随身携带本人身份证原件。如果</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代表不是单位负责人，</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代表还需提交《单位负责人授权书》（附单位负责人身份证复印件及被授权人身份证复印件）以便现场核查；</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代表应随身携带CA用于现场电子签到及解密电子版响应文件。</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采购包3：</w:t>
      </w:r>
    </w:p>
    <w:tbl>
      <w:tblPr>
        <w:tblStyle w:val="5"/>
        <w:tblW w:w="4871" w:type="pct"/>
        <w:tblInd w:w="13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45"/>
        <w:gridCol w:w="74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资格审查要求概况</w:t>
            </w:r>
          </w:p>
        </w:tc>
        <w:tc>
          <w:tcPr>
            <w:tcW w:w="388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现场参与</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需携带材料</w:t>
            </w:r>
          </w:p>
        </w:tc>
        <w:tc>
          <w:tcPr>
            <w:tcW w:w="3882" w:type="pct"/>
            <w:vAlign w:val="center"/>
          </w:tcPr>
          <w:p>
            <w:pPr>
              <w:pStyle w:val="8"/>
              <w:spacing w:line="360" w:lineRule="auto"/>
              <w:jc w:val="left"/>
              <w:rPr>
                <w:color w:val="auto"/>
                <w:highlight w:val="none"/>
              </w:rPr>
            </w:pPr>
            <w:r>
              <w:rPr>
                <w:rFonts w:hint="eastAsia" w:ascii="黑体" w:hAnsi="黑体" w:eastAsia="黑体" w:cs="黑体"/>
                <w:color w:val="auto"/>
                <w:sz w:val="24"/>
                <w:szCs w:val="24"/>
                <w:highlight w:val="none"/>
              </w:rPr>
              <w:t>现场参与的</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代表均需随身携带本人身份证原件。如果</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代表不是单位负责人，</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代表还需提交《单位负责人授权书》（附单位负责人身份证复印件及被授权人身份证复印件）以便现场核查；</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代表应随身携带CA用于现场电子签到及解密电子版响应文件。</w:t>
            </w:r>
          </w:p>
        </w:tc>
      </w:tr>
    </w:tbl>
    <w:p>
      <w:pPr>
        <w:pStyle w:val="8"/>
        <w:spacing w:line="360" w:lineRule="auto"/>
        <w:jc w:val="left"/>
        <w:rPr>
          <w:rFonts w:hint="eastAsia" w:ascii="黑体" w:hAnsi="黑体" w:eastAsia="黑体" w:cs="黑体"/>
          <w:b/>
          <w:bCs/>
          <w:color w:val="auto"/>
          <w:sz w:val="24"/>
          <w:szCs w:val="24"/>
          <w:highlight w:val="none"/>
        </w:rPr>
      </w:pP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采购包4：</w:t>
      </w:r>
    </w:p>
    <w:tbl>
      <w:tblPr>
        <w:tblStyle w:val="5"/>
        <w:tblW w:w="4862" w:type="pct"/>
        <w:tblInd w:w="14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29"/>
        <w:gridCol w:w="74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资格审查要求概况</w:t>
            </w:r>
          </w:p>
        </w:tc>
        <w:tc>
          <w:tcPr>
            <w:tcW w:w="3888"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现场参与</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需携带材料</w:t>
            </w:r>
          </w:p>
        </w:tc>
        <w:tc>
          <w:tcPr>
            <w:tcW w:w="3888" w:type="pct"/>
            <w:vAlign w:val="center"/>
          </w:tcPr>
          <w:p>
            <w:pPr>
              <w:pStyle w:val="8"/>
              <w:spacing w:line="360" w:lineRule="auto"/>
              <w:jc w:val="left"/>
              <w:rPr>
                <w:color w:val="auto"/>
                <w:highlight w:val="none"/>
              </w:rPr>
            </w:pPr>
            <w:r>
              <w:rPr>
                <w:rFonts w:hint="eastAsia" w:ascii="黑体" w:hAnsi="黑体" w:eastAsia="黑体" w:cs="黑体"/>
                <w:color w:val="auto"/>
                <w:sz w:val="24"/>
                <w:szCs w:val="24"/>
                <w:highlight w:val="none"/>
              </w:rPr>
              <w:t>现场参与的</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代表均需随身携带本人身份证原件。如果</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代表不是单位负责人，</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代表还需提交《单位负责人授权书》（附单位负责人身份证复印件及被授权人身份证复印件）以便现场核查；</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代表应随身携带CA用于现场电子签到及解密电子版响应文件。</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采购包5：</w:t>
      </w:r>
    </w:p>
    <w:tbl>
      <w:tblPr>
        <w:tblStyle w:val="5"/>
        <w:tblW w:w="4878" w:type="pct"/>
        <w:tblInd w:w="13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44"/>
        <w:gridCol w:w="74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资格审查要求概况</w:t>
            </w:r>
          </w:p>
        </w:tc>
        <w:tc>
          <w:tcPr>
            <w:tcW w:w="3884"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5"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现场参与</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需携带材料</w:t>
            </w:r>
          </w:p>
        </w:tc>
        <w:tc>
          <w:tcPr>
            <w:tcW w:w="3884" w:type="pct"/>
            <w:vAlign w:val="center"/>
          </w:tcPr>
          <w:p>
            <w:pPr>
              <w:pStyle w:val="8"/>
              <w:spacing w:line="360" w:lineRule="auto"/>
              <w:jc w:val="left"/>
              <w:rPr>
                <w:color w:val="auto"/>
                <w:highlight w:val="none"/>
              </w:rPr>
            </w:pPr>
            <w:r>
              <w:rPr>
                <w:rFonts w:hint="eastAsia" w:ascii="黑体" w:hAnsi="黑体" w:eastAsia="黑体" w:cs="黑体"/>
                <w:color w:val="auto"/>
                <w:sz w:val="24"/>
                <w:szCs w:val="24"/>
                <w:highlight w:val="none"/>
              </w:rPr>
              <w:t>现场参与的</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代表均需随身携带本人身份证原件。如果</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代表不是单位负责人，</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代表还需提交《单位负责人授权书》（附单位负责人身份证复印件及被授权人身份证复印件）以便现场核查；</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代表应随身携带CA用于现场电子签到及解密电子版响应文件。</w:t>
            </w:r>
          </w:p>
        </w:tc>
      </w:tr>
    </w:tbl>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（3）投标保证金。</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1.4有下列情形之一的，资格审查不合格：</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000"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未按照招标文件规定提交投标保证金</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采购包1：</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资格审查不合格项：无</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采购包2：</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资格审查不合格项：无</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采购包3：</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资格审查不合格项：无</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采购包4：</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资格审查不合格项：无</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采购包5：</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资格审查不合格项：无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1.5若本项目接受联合体投标且投标人为联合体，联合体中有同类资质的</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按照联合体分工承担相同工作的，应先按照资质等级较低的供应商确定资质等级，再按照本章第1.2、1.3、1.4条规定进行资格审查。</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2、资格审查情况不得私自外泄，有关信息由 福建久和工程咨询有限公司 统一对外发布。</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3、资格审查合格的投标人不足三家的，不进行评标。同时，本次采购活动结束， 福建久和工程咨询有限公司 将依法组织后续采购活动（包括但不限于：重新招标、采用其他方式采购等）。</w:t>
      </w:r>
    </w:p>
    <w:p>
      <w:pPr>
        <w:pStyle w:val="8"/>
        <w:spacing w:line="360" w:lineRule="auto"/>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二、评标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4、资格审查结束后，由 福建久和工程咨询有限公司 负责评标委员会的组建及评标工作的组织。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5、评标委员会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由采购人代表和评审专家两部分共7人组成，其中由福建省政府采购评审专家库产生的评审专家5人，由采购人派出的采购人代表2人。</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5.2评标委员会负责具体评标事务，并按照下列原则依法独立履行有关职责：</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（1）评标应保护国家利益、社会公共利益和各方当事人合法权益，提高采购效益，保证项目质量。</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（2）评标应遵循公平、公正、科学、严谨和择优原则。</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（3）评标的依据是招标文件和电子投标文件。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（4）应按照招标文件规定推荐中标候选人或确定中标人。</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（5）评标应遵守下列评标纪律：</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①评标情况不得私自外泄，有关信息由 福建久和工程咨询有限公司 统一对外发布。</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②对 福建久和工程咨询有限公司 或投标人提供的要求保密的资料，不得摘记翻印和外传。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③不得收受投标人或有关人员的任何礼物，不得串联鼓动其他人袒护某投标人。若与投标人存在利害关系，则应主动声明并回避。</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④全体评委应按照招标文件规定进行评标，一切认定事项应查有实据且不得弄虚作假。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⑤评标中应充分发扬民主，推荐中标候选人或确定中标人后要服从评标报告。</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※对违反评标纪律的评委，将取消其评委资格，对评标工作造成严重损失者将予以通报批评乃至追究法律责任。</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6、评标程序</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6.1评标前的准备工作</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（1）全体评委应认真审阅招标文件，了解评委应履行或遵守的职责、义务和评标纪律。</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6.2符合性审查</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（1）评标委员会依据招标文件的实质性要求，对通过资格审查的电子投标文件进行符合性审查，以确定其是否满足招标文件的实质性要求。</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（2）满足招标文件的实质性要求指电子投标文件对招标文件实质性要求的响应不存在重大偏差或保留。</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（5）评标委员会对所有投标人都执行相同的程序和标准。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（6）有下列情形之一的，符合性审查不合格：</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①项目一般情形：</w:t>
      </w: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采购包1：</w:t>
      </w:r>
    </w:p>
    <w:tbl>
      <w:tblPr>
        <w:tblStyle w:val="5"/>
        <w:tblW w:w="4886" w:type="pct"/>
        <w:tblInd w:w="10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5"/>
        <w:gridCol w:w="2235"/>
        <w:gridCol w:w="66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3" w:hRule="atLeast"/>
        </w:trPr>
        <w:tc>
          <w:tcPr>
            <w:tcW w:w="3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116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符合审查要求概况</w:t>
            </w:r>
          </w:p>
        </w:tc>
        <w:tc>
          <w:tcPr>
            <w:tcW w:w="345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116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情形1</w:t>
            </w:r>
          </w:p>
        </w:tc>
        <w:tc>
          <w:tcPr>
            <w:tcW w:w="3451"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116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情形2</w:t>
            </w:r>
          </w:p>
        </w:tc>
        <w:tc>
          <w:tcPr>
            <w:tcW w:w="3451"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116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情形3</w:t>
            </w:r>
          </w:p>
        </w:tc>
        <w:tc>
          <w:tcPr>
            <w:tcW w:w="3451"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投标文件对招标文件实质性要求的响应存在重大偏离或保留。</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采购包2：</w:t>
      </w:r>
    </w:p>
    <w:tbl>
      <w:tblPr>
        <w:tblStyle w:val="5"/>
        <w:tblW w:w="4886" w:type="pct"/>
        <w:tblInd w:w="10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5"/>
        <w:gridCol w:w="2235"/>
        <w:gridCol w:w="66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3" w:hRule="atLeast"/>
        </w:trPr>
        <w:tc>
          <w:tcPr>
            <w:tcW w:w="3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116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符合审查要求概况</w:t>
            </w:r>
          </w:p>
        </w:tc>
        <w:tc>
          <w:tcPr>
            <w:tcW w:w="345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116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情形1</w:t>
            </w:r>
          </w:p>
        </w:tc>
        <w:tc>
          <w:tcPr>
            <w:tcW w:w="3451"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116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情形2</w:t>
            </w:r>
          </w:p>
        </w:tc>
        <w:tc>
          <w:tcPr>
            <w:tcW w:w="3451"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116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情形3</w:t>
            </w:r>
          </w:p>
        </w:tc>
        <w:tc>
          <w:tcPr>
            <w:tcW w:w="3451"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投标文件对招标文件实质性要求的响应存在重大偏离或保留。</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采购包3：</w:t>
      </w:r>
    </w:p>
    <w:tbl>
      <w:tblPr>
        <w:tblStyle w:val="5"/>
        <w:tblW w:w="4886" w:type="pct"/>
        <w:tblInd w:w="10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5"/>
        <w:gridCol w:w="2235"/>
        <w:gridCol w:w="66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3" w:hRule="atLeast"/>
        </w:trPr>
        <w:tc>
          <w:tcPr>
            <w:tcW w:w="3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116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符合审查要求概况</w:t>
            </w:r>
          </w:p>
        </w:tc>
        <w:tc>
          <w:tcPr>
            <w:tcW w:w="345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116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情形1</w:t>
            </w:r>
          </w:p>
        </w:tc>
        <w:tc>
          <w:tcPr>
            <w:tcW w:w="3451"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116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情形2</w:t>
            </w:r>
          </w:p>
        </w:tc>
        <w:tc>
          <w:tcPr>
            <w:tcW w:w="3451"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116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情形3</w:t>
            </w:r>
          </w:p>
        </w:tc>
        <w:tc>
          <w:tcPr>
            <w:tcW w:w="3451"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投标文件对招标文件实质性要求的响应存在重大偏离或保留。</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采购包4：</w:t>
      </w:r>
    </w:p>
    <w:tbl>
      <w:tblPr>
        <w:tblStyle w:val="5"/>
        <w:tblW w:w="4893" w:type="pct"/>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9"/>
        <w:gridCol w:w="2236"/>
        <w:gridCol w:w="66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3" w:hRule="atLeast"/>
        </w:trPr>
        <w:tc>
          <w:tcPr>
            <w:tcW w:w="38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1159"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符合审查要求概况</w:t>
            </w:r>
          </w:p>
        </w:tc>
        <w:tc>
          <w:tcPr>
            <w:tcW w:w="345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1159"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情形1</w:t>
            </w:r>
          </w:p>
        </w:tc>
        <w:tc>
          <w:tcPr>
            <w:tcW w:w="3456"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1159"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情形2</w:t>
            </w:r>
          </w:p>
        </w:tc>
        <w:tc>
          <w:tcPr>
            <w:tcW w:w="3456"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1159"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情形3</w:t>
            </w:r>
          </w:p>
        </w:tc>
        <w:tc>
          <w:tcPr>
            <w:tcW w:w="3456"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投标文件对招标文件实质性要求的响应存在重大偏离或保留。</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采购包5：</w:t>
      </w:r>
    </w:p>
    <w:tbl>
      <w:tblPr>
        <w:tblStyle w:val="5"/>
        <w:tblW w:w="4893" w:type="pct"/>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9"/>
        <w:gridCol w:w="2236"/>
        <w:gridCol w:w="66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533" w:hRule="atLeast"/>
        </w:trPr>
        <w:tc>
          <w:tcPr>
            <w:tcW w:w="38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1159"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符合审查要求概况</w:t>
            </w:r>
          </w:p>
        </w:tc>
        <w:tc>
          <w:tcPr>
            <w:tcW w:w="345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1159"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情形1</w:t>
            </w:r>
          </w:p>
        </w:tc>
        <w:tc>
          <w:tcPr>
            <w:tcW w:w="3456"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1159"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情形2</w:t>
            </w:r>
          </w:p>
        </w:tc>
        <w:tc>
          <w:tcPr>
            <w:tcW w:w="3456"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1159"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情形3</w:t>
            </w:r>
          </w:p>
        </w:tc>
        <w:tc>
          <w:tcPr>
            <w:tcW w:w="3456"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投标文件对招标文件实质性要求的响应存在重大偏离或保留。</w:t>
            </w:r>
          </w:p>
        </w:tc>
      </w:tr>
    </w:tbl>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②本项目规定的其他情形：</w:t>
      </w: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采购包1：</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技术符合性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2"/>
        <w:gridCol w:w="86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据闽财购〔2010〕28号文件规定，若投标人的技术部分实际得分少于招标文件设定的技术部分总分50%，即视为技术部分未实质性响应招标文件要求，按无效标处理。②技术部分中不得出现报价部分的全部或部分的投标报价信息（或组成资料），否则符合性审查不合格。</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商务符合性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8"/>
        <w:gridCol w:w="8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66"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66"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①招标文件第五章“三、商务条件”中内容出现负偏离的，按无效标处理。②商务部分中不得出现报价部分的全部或部分的投标报价信息（或组成资料），否则符合性审查不合格。</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附加符合性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8"/>
        <w:gridCol w:w="86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81"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81"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价格符合性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2"/>
        <w:gridCol w:w="86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w:t>
            </w:r>
          </w:p>
        </w:tc>
      </w:tr>
    </w:tbl>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采购包2：</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技术符合性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2"/>
        <w:gridCol w:w="86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据闽财购〔2010〕28号文件规定，若投标人的技术部分实际得分少于招标文件设定的技术部分总分50%，即视为技术部分未实质性响应招标文件要求，按无效标处理。②技术部分中不得出现报价部分的全部或部分的投标报价信息（或组成资料），否则符合性审查不合格。</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商务符合性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8"/>
        <w:gridCol w:w="8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66"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66"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①招标文件第五章“三、商务条件”中内容出现负偏离的，按无效标处理。②商务部分中不得出现报价部分的全部或部分的投标报价信息（或组成资料），否则符合性审查不合格。</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附加符合性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8"/>
        <w:gridCol w:w="86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81"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81"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价格符合性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2"/>
        <w:gridCol w:w="86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采购包3：</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技术符合性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2"/>
        <w:gridCol w:w="86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据闽财购〔2010〕28号文件规定，若投标人的技术部分实际得分少于招标文件设定的技术部分总分50%，即视为技术部分未实质性响应招标文件要求，按无效标处理。②技术部分中不得出现报价部分的全部或部分的投标报价信息（或组成资料），否则符合性审查不合格。</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商务符合性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8"/>
        <w:gridCol w:w="8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66"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66"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①招标文件第五章“三、商务条件”中内容出现负偏离的，按无效标处理。②商务部分中不得出现报价部分的全部或部分的投标报价信息（或组成资料），否则符合性审查不合格。</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附加符合性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8"/>
        <w:gridCol w:w="86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81"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81"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价格符合性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2"/>
        <w:gridCol w:w="86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采购包4：</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技术符合性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2"/>
        <w:gridCol w:w="86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据闽财购〔2010〕28号文件规定，若投标人的技术部分实际得分少于招标文件设定的技术部分总分50%，即视为技术部分未实质性响应招标文件要求，按无效标处理。②技术部分中不得出现报价部分的全部或部分的投标报价信息（或组成资料），否则符合性审查不合格。</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商务符合性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8"/>
        <w:gridCol w:w="8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66"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66"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①招标文件第五章“三、商务条件”中内容出现负偏离的，按无效标处理。②商务部分中不得出现报价部分的全部或部分的投标报价信息（或组成资料），否则符合性审查不合格。</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附加符合性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8"/>
        <w:gridCol w:w="86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81"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81"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价格符合性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2"/>
        <w:gridCol w:w="86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采购包5：</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技术符合性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2"/>
        <w:gridCol w:w="86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据闽财购〔2010〕28号文件规定，若投标人的技术部分实际得分少于招标文件设定的技术部分总分50%，即视为技术部分未实质性响应招标文件要求，按无效标处理。②技术部分中不得出现报价部分的全部或部分的投标报价信息（或组成资料），否则符合性审查不合格。</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商务符合性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8"/>
        <w:gridCol w:w="8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66"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66"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①招标文件第五章“三、商务条件”中内容出现负偏离的，按无效标处理。②商务部分中不得出现报价部分的全部或部分的投标报价信息（或组成资料），否则符合性审查不合格。</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附加符合性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8"/>
        <w:gridCol w:w="86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81"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81"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w:t>
            </w:r>
          </w:p>
        </w:tc>
      </w:tr>
    </w:tbl>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价格符合性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2"/>
        <w:gridCol w:w="86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其他情形</w:t>
            </w:r>
          </w:p>
        </w:tc>
        <w:tc>
          <w:tcPr>
            <w:tcW w:w="4374" w:type="pct"/>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6.3澄清有关问题</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（3）电子投标文件报价出现前后不一致的，除招标文件另有规定外，按照下列规定修正：</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①开标一览表内容与电子投标文件中相应内容不一致的，以开标一览表为准；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②大写金额和小写金额不一致的，以大写金额为准；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③单价金额小数点或百分比有明显错位的，以开标一览表的总价为准，并修改单价；</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④总价金额与按照单价汇总金额不一致的，以单价金额计算结果为准。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※同时出现两种以上不一致的，按照前款规定的顺序修正。修正后的报价应按照本章第6.3条第（1）、（2）款规定经投标人确认后产生约束力，投标人不确认的，其投标无效。</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（4）关于细微偏差</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（5）关于投标描述（即电子投标文件中描述的内容）</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①投标描述前后不一致且不涉及证明材料的：按照本章第6.3条第（1）、（2）款规定执行。</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②投标描述与证明材料不一致或多份证明材料之间不一致的：</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a.评标委员会将要求投标人进行书面澄清，并按照不利于投标人的内容进行评标。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6.4比较与评价</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（1）按照本章第7条载明的评标方法和标准，对符合性审查合格的电子投标文件进行比较与评价。</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（2）关于相同品牌产品（政府采购服务类项目不适用本条款规定）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a.招标文件规定的方式：</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b.招标文件未规定的，采取随机抽取方式确定，其他投标无效。</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a.招标文件规定的方式：</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b.招标文件未规定的，采取随机抽取方式确定，其他同品牌投标人不作为中标候选人。</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③非单一产品采购项目，多家投标人提供的核心产品品牌相同的，按照本章第6.4条第（2）款第①、②规定处理。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（3）漏（缺）项</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①招标文件中要求列入报价的费用（含配置、功能），漏（缺）项的报价视为已经包括在投标总价中。</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②对多报项及赠送项的价格评标时不予核减，全部进入评标价评议。</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6.5推荐中标候选人：详见本章第7.2条规定。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6.6编写评标报告</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（1）评标报告由评标委员会负责编写。</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（2）评标报告应包括下列内容：</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①招标公告刊登的媒体名称、开标日期和地点；</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②投标人名单和评标委员会成员名单；</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③评标方法和标准；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④开标记录和评标情况及说明，包括无效投标人名单及原因；</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⑤评标结果，包括中标候选人名单或确定的中标人；</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⑥其他需要说明的情况，包括但不限于：评标过程中投标人的澄清、说明或补正，评委更换等。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6.9在评标过程中发现投标人有下列情形之一的，评标委员会应认定其投标无效，并书面报告本项目监督管理部门：</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（1）恶意串通（包括但不限于招标文件第三章第9.7条规定情形）；</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（2）妨碍其他投标人的竞争行为；</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（3）损害采购人或其他投标人的合法权益。</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6.10评标过程中，有下列情形之一的，应予废标：</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（1）符合性审查合格的投标人不足三家的；</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（2）有关法律、法规和规章规定废标的情形。</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※若废标，则本次采购活动结束， 福建久和工程咨询有限公司 将依法组织后续采购活动（包括但不限于：重新招标、采用其他方式采购等）。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7、评标方法和标准</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7.1评标方法：</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采购包1：综合评分法</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采购包2：综合评分法</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采购包3：综合评分法</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采购包4：综合评分法</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采购包5：综合评分法</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7.2评标标准</w:t>
      </w: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采购包1：综合评分法</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（1）投标文件满足招标文件全部实质性要求，且按照评审因素的量化指标评审得分（即评标总得分）最高的投标人为中标候选人。</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各项评审因素的设置如下：</w:t>
      </w:r>
    </w:p>
    <w:p>
      <w:pPr>
        <w:pStyle w:val="8"/>
        <w:spacing w:line="360" w:lineRule="auto"/>
        <w:jc w:val="both"/>
        <w:rPr>
          <w:rFonts w:hint="eastAsia" w:ascii="黑体" w:hAnsi="黑体" w:eastAsia="黑体" w:cs="黑体"/>
          <w:b/>
          <w:bCs/>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价格项（F1×A1）满分为</w:t>
      </w:r>
      <w:r>
        <w:rPr>
          <w:rFonts w:hint="eastAsia" w:ascii="黑体" w:hAnsi="黑体" w:eastAsia="黑体" w:cs="黑体"/>
          <w:b/>
          <w:bCs/>
          <w:color w:val="auto"/>
          <w:sz w:val="24"/>
          <w:szCs w:val="24"/>
          <w:highlight w:val="none"/>
          <w:lang w:val="en-US" w:eastAsia="zh-CN"/>
        </w:rPr>
        <w:t>30</w:t>
      </w:r>
      <w:r>
        <w:rPr>
          <w:rFonts w:hint="eastAsia" w:ascii="黑体" w:hAnsi="黑体" w:eastAsia="黑体" w:cs="黑体"/>
          <w:b/>
          <w:bCs/>
          <w:color w:val="auto"/>
          <w:sz w:val="24"/>
          <w:szCs w:val="24"/>
          <w:highlight w:val="none"/>
        </w:rPr>
        <w:t>.00分</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价格扣除的规则如下：</w:t>
      </w:r>
    </w:p>
    <w:tbl>
      <w:tblPr>
        <w:tblStyle w:val="5"/>
        <w:tblW w:w="499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5"/>
        <w:gridCol w:w="1260"/>
        <w:gridCol w:w="947"/>
        <w:gridCol w:w="64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w:t>
            </w:r>
          </w:p>
        </w:tc>
        <w:tc>
          <w:tcPr>
            <w:tcW w:w="64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适用对象</w:t>
            </w:r>
          </w:p>
        </w:tc>
        <w:tc>
          <w:tcPr>
            <w:tcW w:w="4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比例</w:t>
            </w:r>
          </w:p>
        </w:tc>
        <w:tc>
          <w:tcPr>
            <w:tcW w:w="3291"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小型、微型企业，监狱企业，残疾人福利性单位</w:t>
            </w:r>
          </w:p>
        </w:tc>
        <w:tc>
          <w:tcPr>
            <w:tcW w:w="64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投标人或者联合体均为小型、微型企业</w:t>
            </w:r>
          </w:p>
        </w:tc>
        <w:tc>
          <w:tcPr>
            <w:tcW w:w="4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15.00%</w:t>
            </w:r>
          </w:p>
        </w:tc>
        <w:tc>
          <w:tcPr>
            <w:tcW w:w="3291" w:type="pct"/>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sz w:val="24"/>
                <w:szCs w:val="24"/>
                <w:highlight w:val="none"/>
              </w:rPr>
              <w:t>小型、微型企业产品（中、大型企业产品不予扣除）：本项目为非专门面向中小企业采购，采购标的对应的中小企业划分标准所属行业</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lang w:val="en-US" w:eastAsia="zh-CN"/>
              </w:rPr>
              <w:t>工业</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 1、对符合财政部、工信部文件（财库〔2020〕46号）规定的小型、微型企业报价给予15%（工程项目为3%）的扣除，用扣除后的价格参加评审。应按第七章投标文件格式中规定填写并提供《中小企业声明函》（货物），声明函中“标的名称” 、“采购文件中明确的所属行业”项应根据第五章《采购标的一览表具体明细表》中规定准确填写,多品目（采购标的）的须逐条填列，“制造商为（企业名称）”项应准确填写对应的企业全称，“（中型企业、小型企业、微型企业）”项应明确填写属于中型企业、小型企业或是微型企业，否则，其提供的中小企业声明将被判定为无效声明函，不予价格扣除,由此造成的后果由投标人自行承担。 2、对符合财政部、司法部文件（财库[2014]68号）规定的监狱企业(以下简称监狱企业)参加政府采购活动视同小型、微型企业，提供货物（承接的服务）为本单位制造的，其报价享受15%的评审价格扣除优惠，须提供由省级以上监狱管理局、戒毒管理局（含新疆生产建设兵团）出具的属于监狱企业的证明文件，否则不予价格扣除。 3、对符合财政部、民政部、中国残联文件（财库[2017]141号）规定的残疾人福利性单位参加政府采购活动视同小型、微型企业，提供《残疾人福利性单位声明函》并对声明的真实性负责，其报价享受15%（工程项目为3%）的评审价格扣除优惠。对残疾人福利性单位与其他组织组成联合体参与政府采购活动的，残疾人福利性单位的协议合同金额占总合同金额30%以上的，给予联合体合同金额5%（工程项目为1%）的价格扣除。残疾人福利性单位参与货物项目的，须在投标文件中写明具体哪些货物是由本单位制造，或者由其他残疾人福利性单位制造（不包括使用非残疾人福利性单位注册商标的货物），对其进行标注并提供有分项报价表，否则不予价格扣除。残疾人福利性单位视同小型、微型企业。残疾人福利性单位属于小型、微型企业的，不重复享受政策。 注：投标人提供声明函内容不实的或提供虚假证明文件的，均属于提供虚假材料谋取中标、成交，一经发现将依照《中华人民共和国政府采购法》等国家有关规定追究相应责任。</w:t>
            </w:r>
          </w:p>
        </w:tc>
      </w:tr>
    </w:tbl>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其他：无</w:t>
      </w: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技术项（F2×A2）满分为</w:t>
      </w:r>
      <w:r>
        <w:rPr>
          <w:rFonts w:hint="eastAsia" w:ascii="黑体" w:hAnsi="黑体" w:eastAsia="黑体" w:cs="黑体"/>
          <w:b/>
          <w:bCs/>
          <w:color w:val="auto"/>
          <w:sz w:val="24"/>
          <w:szCs w:val="24"/>
          <w:highlight w:val="none"/>
          <w:lang w:val="en-US" w:eastAsia="zh-CN"/>
        </w:rPr>
        <w:t>6</w:t>
      </w:r>
      <w:r>
        <w:rPr>
          <w:rFonts w:hint="eastAsia" w:ascii="黑体" w:hAnsi="黑体" w:eastAsia="黑体" w:cs="黑体"/>
          <w:b/>
          <w:bCs/>
          <w:color w:val="auto"/>
          <w:sz w:val="24"/>
          <w:szCs w:val="24"/>
          <w:highlight w:val="none"/>
        </w:rPr>
        <w:t>0.00分</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794"/>
        <w:gridCol w:w="8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413" w:type="pct"/>
            <w:noWrap w:val="0"/>
            <w:vAlign w:val="center"/>
          </w:tcPr>
          <w:p>
            <w:pPr>
              <w:spacing w:line="360" w:lineRule="auto"/>
              <w:jc w:val="center"/>
              <w:rPr>
                <w:rFonts w:hint="eastAsia" w:ascii="黑体" w:hAnsi="黑体" w:eastAsia="黑体" w:cs="黑体"/>
                <w:b/>
                <w:color w:val="auto"/>
                <w:sz w:val="24"/>
                <w:szCs w:val="24"/>
                <w:highlight w:val="none"/>
                <w:lang w:eastAsia="zh-CN"/>
              </w:rPr>
            </w:pPr>
            <w:r>
              <w:rPr>
                <w:rFonts w:hint="eastAsia" w:ascii="黑体" w:hAnsi="黑体" w:eastAsia="黑体" w:cs="黑体"/>
                <w:b/>
                <w:color w:val="auto"/>
                <w:sz w:val="24"/>
                <w:szCs w:val="24"/>
                <w:highlight w:val="none"/>
                <w:lang w:val="en-US" w:eastAsia="zh-CN"/>
              </w:rPr>
              <w:t>项目</w:t>
            </w:r>
          </w:p>
        </w:tc>
        <w:tc>
          <w:tcPr>
            <w:tcW w:w="403" w:type="pct"/>
            <w:noWrap w:val="0"/>
            <w:vAlign w:val="center"/>
          </w:tcPr>
          <w:p>
            <w:pPr>
              <w:spacing w:line="360" w:lineRule="auto"/>
              <w:jc w:val="center"/>
              <w:rPr>
                <w:rFonts w:hint="eastAsia" w:ascii="黑体" w:hAnsi="黑体" w:eastAsia="黑体" w:cs="黑体"/>
                <w:b/>
                <w:color w:val="auto"/>
                <w:sz w:val="24"/>
                <w:szCs w:val="24"/>
                <w:highlight w:val="none"/>
                <w:lang w:eastAsia="zh-CN"/>
              </w:rPr>
            </w:pPr>
            <w:r>
              <w:rPr>
                <w:rFonts w:hint="eastAsia" w:ascii="黑体" w:hAnsi="黑体" w:eastAsia="黑体" w:cs="黑体"/>
                <w:b/>
                <w:color w:val="auto"/>
                <w:sz w:val="24"/>
                <w:szCs w:val="24"/>
                <w:highlight w:val="none"/>
                <w:lang w:val="en-US" w:eastAsia="zh-CN"/>
              </w:rPr>
              <w:t>分值</w:t>
            </w:r>
          </w:p>
        </w:tc>
        <w:tc>
          <w:tcPr>
            <w:tcW w:w="4183" w:type="pct"/>
            <w:noWrap w:val="0"/>
            <w:vAlign w:val="center"/>
          </w:tcPr>
          <w:p>
            <w:pPr>
              <w:spacing w:line="360" w:lineRule="auto"/>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noWrap w:val="0"/>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产品技术</w:t>
            </w:r>
          </w:p>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参数</w:t>
            </w:r>
          </w:p>
        </w:tc>
        <w:tc>
          <w:tcPr>
            <w:tcW w:w="403" w:type="pct"/>
            <w:noWrap w:val="0"/>
            <w:vAlign w:val="center"/>
          </w:tcPr>
          <w:p>
            <w:pPr>
              <w:spacing w:line="360" w:lineRule="auto"/>
              <w:jc w:val="center"/>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51</w:t>
            </w:r>
          </w:p>
        </w:tc>
        <w:tc>
          <w:tcPr>
            <w:tcW w:w="4183" w:type="pct"/>
            <w:noWrap w:val="0"/>
            <w:vAlign w:val="center"/>
          </w:tcPr>
          <w:p>
            <w:pPr>
              <w:spacing w:line="360" w:lineRule="auto"/>
              <w:jc w:val="left"/>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1.投标文件中提供《货物说明一览表》、《技术响应/偏离表》、产品技术规格书(或使用说明书)：缺少任意一份资料的，本项计 0分；</w:t>
            </w:r>
          </w:p>
          <w:p>
            <w:pPr>
              <w:spacing w:line="360" w:lineRule="auto"/>
              <w:jc w:val="left"/>
              <w:rPr>
                <w:rFonts w:hint="eastAsia" w:ascii="黑体" w:hAnsi="黑体" w:eastAsia="黑体" w:cs="黑体"/>
                <w:b w:val="0"/>
                <w:bCs w:val="0"/>
                <w:color w:val="auto"/>
                <w:sz w:val="24"/>
                <w:szCs w:val="24"/>
                <w:highlight w:val="none"/>
                <w:u w:val="none"/>
              </w:rPr>
            </w:pPr>
            <w:r>
              <w:rPr>
                <w:rFonts w:hint="eastAsia" w:ascii="黑体" w:hAnsi="黑体" w:eastAsia="黑体" w:cs="黑体"/>
                <w:b w:val="0"/>
                <w:bCs w:val="0"/>
                <w:color w:val="auto"/>
                <w:sz w:val="24"/>
                <w:szCs w:val="24"/>
                <w:highlight w:val="none"/>
                <w:u w:val="none"/>
                <w:lang w:val="en-US" w:eastAsia="zh-CN"/>
              </w:rPr>
              <w:t>2.</w:t>
            </w:r>
            <w:r>
              <w:rPr>
                <w:rFonts w:hint="eastAsia" w:ascii="黑体" w:hAnsi="黑体" w:eastAsia="黑体" w:cs="黑体"/>
                <w:b w:val="0"/>
                <w:bCs w:val="0"/>
                <w:color w:val="auto"/>
                <w:sz w:val="24"/>
                <w:szCs w:val="24"/>
                <w:highlight w:val="none"/>
                <w:u w:val="none"/>
              </w:rPr>
              <w:t>技术要求中标注“</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rPr>
              <w:t>”符号的技术参数有不响应或负偏离的视为未实质性响应招标文件要求，投标无效；标注“▲”符号的技术参数</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lang w:val="en-US" w:eastAsia="zh-CN"/>
              </w:rPr>
              <w:t>共28项）</w:t>
            </w:r>
            <w:r>
              <w:rPr>
                <w:rFonts w:hint="eastAsia" w:ascii="黑体" w:hAnsi="黑体" w:eastAsia="黑体" w:cs="黑体"/>
                <w:b w:val="0"/>
                <w:bCs w:val="0"/>
                <w:color w:val="auto"/>
                <w:sz w:val="24"/>
                <w:szCs w:val="24"/>
                <w:highlight w:val="none"/>
                <w:u w:val="none"/>
              </w:rPr>
              <w:t>每负偏离一项扣</w:t>
            </w:r>
            <w:r>
              <w:rPr>
                <w:rFonts w:hint="eastAsia" w:ascii="黑体" w:hAnsi="黑体" w:eastAsia="黑体" w:cs="黑体"/>
                <w:b w:val="0"/>
                <w:bCs w:val="0"/>
                <w:color w:val="auto"/>
                <w:sz w:val="24"/>
                <w:szCs w:val="24"/>
                <w:highlight w:val="none"/>
                <w:u w:val="none"/>
                <w:lang w:val="en-US" w:eastAsia="zh-CN"/>
              </w:rPr>
              <w:t>1.2</w:t>
            </w:r>
            <w:r>
              <w:rPr>
                <w:rFonts w:hint="eastAsia" w:ascii="黑体" w:hAnsi="黑体" w:eastAsia="黑体" w:cs="黑体"/>
                <w:b w:val="0"/>
                <w:bCs w:val="0"/>
                <w:color w:val="auto"/>
                <w:sz w:val="24"/>
                <w:szCs w:val="24"/>
                <w:highlight w:val="none"/>
                <w:u w:val="none"/>
              </w:rPr>
              <w:t>分</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rPr>
              <w:t>一般技术指标（未标注“</w:t>
            </w:r>
            <w:r>
              <w:rPr>
                <w:rFonts w:hint="eastAsia" w:ascii="黑体" w:hAnsi="黑体" w:eastAsia="黑体" w:cs="黑体"/>
                <w:b w:val="0"/>
                <w:bCs w:val="0"/>
                <w:color w:val="auto"/>
                <w:sz w:val="24"/>
                <w:szCs w:val="24"/>
                <w:highlight w:val="none"/>
                <w:u w:val="none"/>
                <w:lang w:eastAsia="zh-CN"/>
              </w:rPr>
              <w:t>★或</w:t>
            </w:r>
            <w:r>
              <w:rPr>
                <w:rFonts w:hint="eastAsia" w:ascii="黑体" w:hAnsi="黑体" w:eastAsia="黑体" w:cs="黑体"/>
                <w:b w:val="0"/>
                <w:bCs w:val="0"/>
                <w:color w:val="auto"/>
                <w:sz w:val="24"/>
                <w:szCs w:val="24"/>
                <w:highlight w:val="none"/>
                <w:u w:val="none"/>
              </w:rPr>
              <w:t>▲”号</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lang w:val="en-US" w:eastAsia="zh-CN"/>
              </w:rPr>
              <w:t>共计77项</w:t>
            </w:r>
            <w:r>
              <w:rPr>
                <w:rFonts w:hint="eastAsia" w:ascii="黑体" w:hAnsi="黑体" w:eastAsia="黑体" w:cs="黑体"/>
                <w:b w:val="0"/>
                <w:bCs w:val="0"/>
                <w:color w:val="auto"/>
                <w:sz w:val="24"/>
                <w:szCs w:val="24"/>
                <w:highlight w:val="none"/>
                <w:u w:val="none"/>
              </w:rPr>
              <w:t>）每负偏离一项扣</w:t>
            </w:r>
            <w:r>
              <w:rPr>
                <w:rFonts w:hint="eastAsia" w:ascii="黑体" w:hAnsi="黑体" w:eastAsia="黑体" w:cs="黑体"/>
                <w:b w:val="0"/>
                <w:bCs w:val="0"/>
                <w:color w:val="auto"/>
                <w:sz w:val="24"/>
                <w:szCs w:val="24"/>
                <w:highlight w:val="none"/>
                <w:u w:val="none"/>
                <w:lang w:val="en-US" w:eastAsia="zh-CN"/>
              </w:rPr>
              <w:t>0.25</w:t>
            </w:r>
            <w:r>
              <w:rPr>
                <w:rFonts w:hint="eastAsia" w:ascii="黑体" w:hAnsi="黑体" w:eastAsia="黑体" w:cs="黑体"/>
                <w:b w:val="0"/>
                <w:bCs w:val="0"/>
                <w:color w:val="auto"/>
                <w:sz w:val="24"/>
                <w:szCs w:val="24"/>
                <w:highlight w:val="none"/>
                <w:u w:val="none"/>
              </w:rPr>
              <w:t>分</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rPr>
              <w:t>扣完为止。</w:t>
            </w:r>
          </w:p>
          <w:p>
            <w:pPr>
              <w:spacing w:line="360" w:lineRule="auto"/>
              <w:jc w:val="left"/>
              <w:rPr>
                <w:rFonts w:hint="eastAsia" w:ascii="黑体" w:hAnsi="黑体" w:eastAsia="黑体" w:cs="黑体"/>
                <w:color w:val="auto"/>
                <w:sz w:val="24"/>
                <w:szCs w:val="24"/>
                <w:highlight w:val="none"/>
                <w:u w:val="single"/>
                <w:lang w:eastAsia="zh-CN"/>
              </w:rPr>
            </w:pPr>
            <w:r>
              <w:rPr>
                <w:rFonts w:hint="eastAsia" w:ascii="黑体" w:hAnsi="黑体" w:eastAsia="黑体" w:cs="黑体"/>
                <w:color w:val="auto"/>
                <w:sz w:val="24"/>
                <w:szCs w:val="24"/>
                <w:highlight w:val="none"/>
              </w:rPr>
              <w:t>备</w:t>
            </w:r>
            <w:r>
              <w:rPr>
                <w:rFonts w:hint="eastAsia" w:ascii="黑体" w:hAnsi="黑体" w:eastAsia="黑体" w:cs="黑体"/>
                <w:b/>
                <w:bCs/>
                <w:color w:val="auto"/>
                <w:sz w:val="24"/>
                <w:szCs w:val="24"/>
                <w:highlight w:val="none"/>
                <w:u w:val="none"/>
              </w:rPr>
              <w:t>注：</w:t>
            </w:r>
            <w:r>
              <w:rPr>
                <w:rFonts w:hint="eastAsia" w:ascii="黑体" w:hAnsi="黑体" w:eastAsia="黑体" w:cs="黑体"/>
                <w:b/>
                <w:bCs/>
                <w:color w:val="auto"/>
                <w:sz w:val="24"/>
                <w:szCs w:val="24"/>
                <w:highlight w:val="none"/>
                <w:u w:val="none"/>
                <w:lang w:val="en-US" w:eastAsia="zh-CN"/>
              </w:rPr>
              <w:t>技术参数中有明确佐证资料的，按技术参数要求提供佐证资料，未做要求的按如下方式提供佐证资料：1.</w:t>
            </w:r>
            <w:r>
              <w:rPr>
                <w:rFonts w:hint="eastAsia" w:ascii="黑体" w:hAnsi="黑体" w:eastAsia="黑体" w:cs="黑体"/>
                <w:b w:val="0"/>
                <w:bCs w:val="0"/>
                <w:color w:val="auto"/>
                <w:sz w:val="24"/>
                <w:szCs w:val="24"/>
                <w:highlight w:val="none"/>
                <w:u w:val="none"/>
              </w:rPr>
              <w:t>标注“</w:t>
            </w:r>
            <w:r>
              <w:rPr>
                <w:rFonts w:hint="eastAsia" w:ascii="黑体" w:hAnsi="黑体" w:eastAsia="黑体" w:cs="黑体"/>
                <w:b w:val="0"/>
                <w:bCs w:val="0"/>
                <w:color w:val="auto"/>
                <w:sz w:val="24"/>
                <w:szCs w:val="24"/>
                <w:highlight w:val="none"/>
                <w:u w:val="none"/>
                <w:lang w:eastAsia="zh-CN"/>
              </w:rPr>
              <w:t>★或</w:t>
            </w:r>
            <w:r>
              <w:rPr>
                <w:rFonts w:hint="eastAsia" w:ascii="黑体" w:hAnsi="黑体" w:eastAsia="黑体" w:cs="黑体"/>
                <w:b w:val="0"/>
                <w:bCs w:val="0"/>
                <w:color w:val="auto"/>
                <w:sz w:val="24"/>
                <w:szCs w:val="24"/>
                <w:highlight w:val="none"/>
                <w:u w:val="none"/>
              </w:rPr>
              <w:t>▲”号</w:t>
            </w:r>
            <w:r>
              <w:rPr>
                <w:rFonts w:hint="eastAsia" w:ascii="黑体" w:hAnsi="黑体" w:eastAsia="黑体" w:cs="黑体"/>
                <w:b w:val="0"/>
                <w:bCs w:val="0"/>
                <w:color w:val="auto"/>
                <w:sz w:val="24"/>
                <w:szCs w:val="24"/>
                <w:highlight w:val="none"/>
                <w:u w:val="none"/>
                <w:lang w:val="en-US" w:eastAsia="zh-CN"/>
              </w:rPr>
              <w:t>的技术参数以供应商</w:t>
            </w:r>
            <w:r>
              <w:rPr>
                <w:rFonts w:hint="eastAsia" w:ascii="黑体" w:hAnsi="黑体" w:eastAsia="黑体" w:cs="黑体"/>
                <w:b w:val="0"/>
                <w:bCs w:val="0"/>
                <w:strike w:val="0"/>
                <w:dstrike w:val="0"/>
                <w:color w:val="auto"/>
                <w:sz w:val="24"/>
                <w:szCs w:val="24"/>
                <w:highlight w:val="none"/>
                <w:u w:val="none"/>
                <w:lang w:val="en-US" w:eastAsia="zh-CN"/>
              </w:rPr>
              <w:t>提供的</w:t>
            </w:r>
            <w:r>
              <w:rPr>
                <w:rFonts w:hint="eastAsia" w:ascii="黑体" w:hAnsi="黑体" w:eastAsia="黑体" w:cs="黑体"/>
                <w:b w:val="0"/>
                <w:bCs w:val="0"/>
                <w:strike w:val="0"/>
                <w:dstrike w:val="0"/>
                <w:color w:val="auto"/>
                <w:sz w:val="24"/>
                <w:szCs w:val="24"/>
                <w:highlight w:val="none"/>
                <w:u w:val="none"/>
              </w:rPr>
              <w:t>检测报告</w:t>
            </w:r>
            <w:r>
              <w:rPr>
                <w:rFonts w:hint="eastAsia" w:ascii="黑体" w:hAnsi="黑体" w:eastAsia="黑体" w:cs="黑体"/>
                <w:b w:val="0"/>
                <w:bCs w:val="0"/>
                <w:strike w:val="0"/>
                <w:dstrike w:val="0"/>
                <w:color w:val="auto"/>
                <w:sz w:val="24"/>
                <w:szCs w:val="24"/>
                <w:highlight w:val="none"/>
                <w:u w:val="none"/>
                <w:lang w:val="en-US" w:eastAsia="zh-CN"/>
              </w:rPr>
              <w:t>佐证，</w:t>
            </w:r>
            <w:r>
              <w:rPr>
                <w:rFonts w:hint="eastAsia" w:ascii="黑体" w:hAnsi="黑体" w:eastAsia="黑体" w:cs="黑体"/>
                <w:b w:val="0"/>
                <w:bCs w:val="0"/>
                <w:strike w:val="0"/>
                <w:dstrike w:val="0"/>
                <w:color w:val="auto"/>
                <w:sz w:val="24"/>
                <w:szCs w:val="24"/>
                <w:highlight w:val="none"/>
                <w:u w:val="none"/>
              </w:rPr>
              <w:t>所提供检测报告必须是中国国家认证认可监督管理委员会颁发的具有CMA或CNAS资格的检测机构出具的检测报告</w:t>
            </w:r>
            <w:r>
              <w:rPr>
                <w:rFonts w:hint="eastAsia" w:ascii="黑体" w:hAnsi="黑体" w:eastAsia="黑体" w:cs="黑体"/>
                <w:b w:val="0"/>
                <w:bCs w:val="0"/>
                <w:strike w:val="0"/>
                <w:dstrike w:val="0"/>
                <w:color w:val="auto"/>
                <w:sz w:val="24"/>
                <w:szCs w:val="24"/>
                <w:highlight w:val="none"/>
                <w:u w:val="none"/>
                <w:lang w:val="en-US" w:eastAsia="zh-CN"/>
              </w:rPr>
              <w:t>；2.</w:t>
            </w:r>
            <w:r>
              <w:rPr>
                <w:rFonts w:hint="eastAsia" w:ascii="黑体" w:hAnsi="黑体" w:eastAsia="黑体" w:cs="黑体"/>
                <w:b w:val="0"/>
                <w:bCs w:val="0"/>
                <w:color w:val="auto"/>
                <w:sz w:val="24"/>
                <w:szCs w:val="24"/>
                <w:highlight w:val="none"/>
                <w:u w:val="none"/>
              </w:rPr>
              <w:t>一般技术指标以投标人提供的《技术偏离表》为准，若《技术偏离表》与投标文件中提供的检验报告或产品技术规格书等证明材料不一致的，以检验报告或产品技术规格书等证明材料为准</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lang w:val="en-US" w:eastAsia="zh-CN"/>
              </w:rPr>
              <w:t>3.</w:t>
            </w:r>
            <w:r>
              <w:rPr>
                <w:rFonts w:hint="eastAsia" w:ascii="黑体" w:hAnsi="黑体" w:eastAsia="黑体" w:cs="黑体"/>
                <w:b w:val="0"/>
                <w:bCs w:val="0"/>
                <w:color w:val="auto"/>
                <w:sz w:val="24"/>
                <w:szCs w:val="24"/>
                <w:highlight w:val="none"/>
                <w:u w:val="none"/>
              </w:rPr>
              <w:t>技术响应情况须完整填列在《技术和服务要求响应表》中,未填列或漏项的，评标委员会将按照不利于投标人的判定进行评审（即认定为负偏离）</w:t>
            </w:r>
            <w:r>
              <w:rPr>
                <w:rFonts w:hint="eastAsia" w:ascii="黑体" w:hAnsi="黑体" w:eastAsia="黑体" w:cs="黑体"/>
                <w:b w:val="0"/>
                <w:bCs w:val="0"/>
                <w:color w:val="auto"/>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trike w:val="0"/>
                <w:dstrike w:val="0"/>
                <w:color w:val="auto"/>
                <w:sz w:val="24"/>
                <w:szCs w:val="24"/>
                <w:highlight w:val="none"/>
              </w:rPr>
            </w:pPr>
            <w:r>
              <w:rPr>
                <w:rFonts w:hint="eastAsia" w:ascii="黑体" w:hAnsi="黑体" w:eastAsia="黑体" w:cs="黑体"/>
                <w:strike w:val="0"/>
                <w:dstrike w:val="0"/>
                <w:color w:val="auto"/>
                <w:sz w:val="24"/>
                <w:szCs w:val="24"/>
                <w:highlight w:val="none"/>
                <w:lang w:val="en" w:eastAsia="zh-CN"/>
              </w:rPr>
              <w:t>4G</w:t>
            </w:r>
            <w:r>
              <w:rPr>
                <w:rFonts w:hint="eastAsia" w:ascii="黑体" w:hAnsi="黑体" w:eastAsia="黑体" w:cs="黑体"/>
                <w:strike w:val="0"/>
                <w:dstrike w:val="0"/>
                <w:color w:val="auto"/>
                <w:sz w:val="24"/>
                <w:szCs w:val="24"/>
                <w:highlight w:val="none"/>
                <w:lang w:eastAsia="zh-CN"/>
              </w:rPr>
              <w:t>物联网卡</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trike w:val="0"/>
                <w:dstrike w:val="0"/>
                <w:color w:val="auto"/>
                <w:sz w:val="24"/>
                <w:szCs w:val="24"/>
                <w:highlight w:val="none"/>
                <w:lang w:val="en-US" w:eastAsia="zh-CN"/>
              </w:rPr>
            </w:pPr>
            <w:r>
              <w:rPr>
                <w:rFonts w:hint="eastAsia" w:ascii="黑体" w:hAnsi="黑体" w:eastAsia="黑体" w:cs="黑体"/>
                <w:strike w:val="0"/>
                <w:dstrike w:val="0"/>
                <w:color w:val="auto"/>
                <w:sz w:val="24"/>
                <w:szCs w:val="24"/>
                <w:highlight w:val="none"/>
                <w:lang w:val="en-US" w:eastAsia="zh-CN"/>
              </w:rPr>
              <w:t>3</w:t>
            </w:r>
          </w:p>
        </w:tc>
        <w:tc>
          <w:tcPr>
            <w:tcW w:w="4183" w:type="pct"/>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strike w:val="0"/>
                <w:dstrike w:val="0"/>
                <w:color w:val="auto"/>
                <w:kern w:val="0"/>
                <w:sz w:val="24"/>
                <w:szCs w:val="24"/>
                <w:highlight w:val="none"/>
                <w:lang w:val="en-US" w:eastAsia="zh-CN"/>
              </w:rPr>
            </w:pPr>
            <w:r>
              <w:rPr>
                <w:rFonts w:hint="eastAsia" w:ascii="黑体" w:hAnsi="黑体" w:eastAsia="黑体" w:cs="黑体"/>
                <w:strike w:val="0"/>
                <w:dstrike w:val="0"/>
                <w:color w:val="auto"/>
                <w:kern w:val="0"/>
                <w:sz w:val="24"/>
                <w:szCs w:val="24"/>
                <w:highlight w:val="none"/>
                <w:lang w:val="en-US" w:eastAsia="zh-CN"/>
              </w:rPr>
              <w:t>1.音视频年流量包40G/月及以上得1.5分，30G/月至39G/月得1分，20G/月-29G/月至得0.5分，其余不得分。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strike w:val="0"/>
                <w:dstrike w:val="0"/>
                <w:color w:val="auto"/>
                <w:sz w:val="24"/>
                <w:szCs w:val="24"/>
                <w:highlight w:val="none"/>
              </w:rPr>
            </w:pPr>
            <w:r>
              <w:rPr>
                <w:rFonts w:hint="eastAsia" w:ascii="黑体" w:hAnsi="黑体" w:eastAsia="黑体" w:cs="黑体"/>
                <w:strike w:val="0"/>
                <w:dstrike w:val="0"/>
                <w:color w:val="auto"/>
                <w:kern w:val="0"/>
                <w:sz w:val="24"/>
                <w:szCs w:val="24"/>
                <w:highlight w:val="none"/>
                <w:lang w:val="en-US" w:eastAsia="zh-CN"/>
              </w:rPr>
              <w:t>2</w:t>
            </w:r>
            <w:r>
              <w:rPr>
                <w:rFonts w:hint="eastAsia" w:ascii="黑体" w:hAnsi="黑体" w:eastAsia="黑体" w:cs="黑体"/>
                <w:strike w:val="0"/>
                <w:dstrike w:val="0"/>
                <w:color w:val="auto"/>
                <w:sz w:val="24"/>
                <w:szCs w:val="24"/>
                <w:highlight w:val="none"/>
                <w:lang w:val="en-US" w:eastAsia="zh-CN"/>
              </w:rPr>
              <w:t>.</w:t>
            </w:r>
            <w:r>
              <w:rPr>
                <w:rFonts w:hint="eastAsia" w:ascii="黑体" w:hAnsi="黑体" w:eastAsia="黑体" w:cs="黑体"/>
                <w:strike w:val="0"/>
                <w:dstrike w:val="0"/>
                <w:color w:val="auto"/>
                <w:kern w:val="0"/>
                <w:sz w:val="24"/>
                <w:szCs w:val="24"/>
                <w:highlight w:val="none"/>
                <w:lang w:val="en-US" w:eastAsia="zh-CN"/>
              </w:rPr>
              <w:t>音视频流量服务5年及以上得1.5分，4年得1分，3年得0.5分，其余不得分。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noWrap w:val="0"/>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质量保障和交货期保障</w:t>
            </w:r>
          </w:p>
        </w:tc>
        <w:tc>
          <w:tcPr>
            <w:tcW w:w="403" w:type="pct"/>
            <w:noWrap w:val="0"/>
            <w:vAlign w:val="center"/>
          </w:tcPr>
          <w:p>
            <w:pPr>
              <w:spacing w:line="360" w:lineRule="auto"/>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3</w:t>
            </w:r>
          </w:p>
        </w:tc>
        <w:tc>
          <w:tcPr>
            <w:tcW w:w="4183" w:type="pct"/>
            <w:noWrap w:val="0"/>
            <w:vAlign w:val="center"/>
          </w:tcPr>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根据投标人提供的确保项目实施质量而采取的保障措施，从有明确的任务交货期安排与合理的实施周期步骤等方面进行评审：</w:t>
            </w:r>
          </w:p>
          <w:p>
            <w:pPr>
              <w:numPr>
                <w:ilvl w:val="0"/>
                <w:numId w:val="0"/>
              </w:num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质量和交货期保障措施完整、全面、合理，完全满足并优于项目要求的计</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p>
            <w:pPr>
              <w:numPr>
                <w:ilvl w:val="0"/>
                <w:numId w:val="0"/>
              </w:num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质量和交货期保障措完整性、全面性、合理性一般的计</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分；</w:t>
            </w:r>
          </w:p>
          <w:p>
            <w:pPr>
              <w:numPr>
                <w:ilvl w:val="0"/>
                <w:numId w:val="0"/>
              </w:num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质量和交货期保障措欠完整、不详细、不合理的计1分；</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备</w:t>
            </w:r>
            <w:r>
              <w:rPr>
                <w:rFonts w:hint="eastAsia" w:ascii="黑体" w:hAnsi="黑体" w:eastAsia="黑体" w:cs="黑体"/>
                <w:b/>
                <w:bCs/>
                <w:color w:val="auto"/>
                <w:sz w:val="24"/>
                <w:szCs w:val="24"/>
                <w:highlight w:val="none"/>
              </w:rPr>
              <w:t>注：</w:t>
            </w:r>
            <w:r>
              <w:rPr>
                <w:rFonts w:hint="eastAsia" w:ascii="黑体" w:hAnsi="黑体" w:eastAsia="黑体" w:cs="黑体"/>
                <w:color w:val="auto"/>
                <w:sz w:val="24"/>
                <w:szCs w:val="24"/>
                <w:highlight w:val="none"/>
              </w:rPr>
              <w:t>本项“质量保障和交货期保障”评审因素汇总得分最多计</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分，未提供方案的不计分。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noWrap w:val="0"/>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培训方案</w:t>
            </w:r>
          </w:p>
        </w:tc>
        <w:tc>
          <w:tcPr>
            <w:tcW w:w="403" w:type="pct"/>
            <w:noWrap w:val="0"/>
            <w:vAlign w:val="center"/>
          </w:tcPr>
          <w:p>
            <w:pPr>
              <w:spacing w:line="360" w:lineRule="auto"/>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3</w:t>
            </w:r>
          </w:p>
        </w:tc>
        <w:tc>
          <w:tcPr>
            <w:tcW w:w="4183" w:type="pct"/>
            <w:noWrap w:val="0"/>
            <w:vAlign w:val="center"/>
          </w:tcPr>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根据投标人针对本项目提出的培训方案按以下量化指标和对应分值进行评审计分：</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1、有完善的培训方案,2、培训承诺书，3、培训技术人员名单，4、</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培训课程表，5、培训意见表和培训图片，6、从对产品的认识、维护保养、正确的操作方式，7、操作的熟练程度、操作人员的相互配合，8、培训计划表；</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对照上列 8 项量化指标，每项按：</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①方案完善具体、完全满足并优于项目要求，可行性优，计</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 xml:space="preserve"> 分；②方案基本完善，基本满足项目要求，可行性一般，计</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分；③方案存在瑕疵或不合理的情况，可行性差，计</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注：本项“培训方案”评审因素汇总得分最多计 </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分，未提供方案的不计分。</w:t>
            </w:r>
          </w:p>
        </w:tc>
      </w:tr>
    </w:tbl>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商务项（F3×A3）满分为</w:t>
      </w:r>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rPr>
        <w:t>0.00分</w:t>
      </w:r>
    </w:p>
    <w:tbl>
      <w:tblPr>
        <w:tblStyle w:val="6"/>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816"/>
        <w:gridCol w:w="8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noWrap w:val="0"/>
            <w:vAlign w:val="top"/>
          </w:tcPr>
          <w:p>
            <w:pPr>
              <w:pStyle w:val="8"/>
              <w:widowControl w:val="0"/>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项目</w:t>
            </w:r>
          </w:p>
        </w:tc>
        <w:tc>
          <w:tcPr>
            <w:tcW w:w="415" w:type="pct"/>
            <w:noWrap w:val="0"/>
            <w:vAlign w:val="top"/>
          </w:tcPr>
          <w:p>
            <w:pPr>
              <w:pStyle w:val="8"/>
              <w:widowControl w:val="0"/>
              <w:spacing w:line="360" w:lineRule="auto"/>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值</w:t>
            </w:r>
          </w:p>
        </w:tc>
        <w:tc>
          <w:tcPr>
            <w:tcW w:w="4144" w:type="pct"/>
            <w:noWrap w:val="0"/>
            <w:vAlign w:val="top"/>
          </w:tcPr>
          <w:p>
            <w:pPr>
              <w:pStyle w:val="8"/>
              <w:widowControl w:val="0"/>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noWrap w:val="0"/>
            <w:vAlign w:val="center"/>
          </w:tcPr>
          <w:p>
            <w:pPr>
              <w:spacing w:line="360" w:lineRule="auto"/>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综合实力</w:t>
            </w:r>
          </w:p>
        </w:tc>
        <w:tc>
          <w:tcPr>
            <w:tcW w:w="415" w:type="pct"/>
            <w:noWrap w:val="0"/>
            <w:vAlign w:val="center"/>
          </w:tcPr>
          <w:p>
            <w:pPr>
              <w:spacing w:line="360" w:lineRule="auto"/>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3</w:t>
            </w:r>
          </w:p>
        </w:tc>
        <w:tc>
          <w:tcPr>
            <w:tcW w:w="4144" w:type="pct"/>
            <w:noWrap w:val="0"/>
            <w:vAlign w:val="center"/>
          </w:tcPr>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投标人具有质量管理体系认证证书、职业健康安全管理体系认证证书、环境管理体系认证证书，</w:t>
            </w:r>
            <w:r>
              <w:rPr>
                <w:rFonts w:hint="eastAsia" w:ascii="黑体" w:hAnsi="黑体" w:eastAsia="黑体" w:cs="黑体"/>
                <w:color w:val="auto"/>
                <w:sz w:val="24"/>
                <w:szCs w:val="24"/>
                <w:highlight w:val="none"/>
                <w:lang w:val="en-US" w:eastAsia="zh-CN"/>
              </w:rPr>
              <w:t>每具备一项得1分，满分3分</w:t>
            </w:r>
            <w:r>
              <w:rPr>
                <w:rFonts w:hint="eastAsia" w:ascii="黑体" w:hAnsi="黑体" w:eastAsia="黑体" w:cs="黑体"/>
                <w:color w:val="auto"/>
                <w:sz w:val="24"/>
                <w:szCs w:val="24"/>
                <w:highlight w:val="none"/>
              </w:rPr>
              <w:t>。</w:t>
            </w:r>
          </w:p>
          <w:p>
            <w:pPr>
              <w:spacing w:line="360" w:lineRule="auto"/>
              <w:jc w:val="lef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评审依据：提供国家认证认可监督管理委员网站截图（https://www.cnca.gov.cn/）及有效期内的证书扫描件并加盖投标人公章。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noWrap w:val="0"/>
            <w:vAlign w:val="center"/>
          </w:tcPr>
          <w:p>
            <w:pPr>
              <w:spacing w:line="360" w:lineRule="auto"/>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类似业绩</w:t>
            </w:r>
          </w:p>
        </w:tc>
        <w:tc>
          <w:tcPr>
            <w:tcW w:w="415" w:type="pct"/>
            <w:noWrap w:val="0"/>
            <w:vAlign w:val="center"/>
          </w:tcPr>
          <w:p>
            <w:pPr>
              <w:spacing w:line="360" w:lineRule="auto"/>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strike w:val="0"/>
                <w:dstrike w:val="0"/>
                <w:color w:val="auto"/>
                <w:sz w:val="24"/>
                <w:szCs w:val="24"/>
                <w:highlight w:val="none"/>
                <w:lang w:val="en-US" w:eastAsia="zh-CN"/>
              </w:rPr>
              <w:t>3</w:t>
            </w:r>
          </w:p>
        </w:tc>
        <w:tc>
          <w:tcPr>
            <w:tcW w:w="4144" w:type="pct"/>
            <w:noWrap w:val="0"/>
            <w:vAlign w:val="center"/>
          </w:tcPr>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 2020 年以来有相关类似项目业绩，每提供 1 个</w:t>
            </w:r>
            <w:r>
              <w:rPr>
                <w:rFonts w:hint="eastAsia" w:ascii="黑体" w:hAnsi="黑体" w:eastAsia="黑体" w:cs="黑体"/>
                <w:color w:val="auto"/>
                <w:sz w:val="24"/>
                <w:szCs w:val="24"/>
                <w:highlight w:val="none"/>
                <w:lang w:val="en-US" w:eastAsia="zh-CN"/>
              </w:rPr>
              <w:t>得</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分，最多</w:t>
            </w:r>
            <w:r>
              <w:rPr>
                <w:rFonts w:hint="eastAsia" w:ascii="黑体" w:hAnsi="黑体" w:eastAsia="黑体" w:cs="黑体"/>
                <w:color w:val="auto"/>
                <w:sz w:val="24"/>
                <w:szCs w:val="24"/>
                <w:highlight w:val="none"/>
                <w:lang w:val="en-US" w:eastAsia="zh-CN"/>
              </w:rPr>
              <w:t>得3</w:t>
            </w:r>
            <w:r>
              <w:rPr>
                <w:rFonts w:hint="eastAsia" w:ascii="黑体" w:hAnsi="黑体" w:eastAsia="黑体" w:cs="黑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strike/>
                <w:dstrike w:val="0"/>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投标人</w:t>
            </w:r>
            <w:r>
              <w:rPr>
                <w:rFonts w:hint="eastAsia" w:ascii="黑体" w:hAnsi="黑体" w:eastAsia="黑体" w:cs="黑体"/>
                <w:b/>
                <w:color w:val="auto"/>
                <w:sz w:val="24"/>
                <w:szCs w:val="24"/>
                <w:highlight w:val="none"/>
              </w:rPr>
              <w:t>需提供该业绩项目以下资料有效复印件：①中标（成交）公告（提供相关网站中标（成交）公告的下载网页及其网址）；②中标（成交）通知书复印件； ③采购合同文本复印件；④能够证明该业绩项目已经采购人验收合格的相关证明文件复印件；备注：上述4项缺一不可，</w:t>
            </w:r>
            <w:r>
              <w:rPr>
                <w:rFonts w:hint="eastAsia" w:ascii="黑体" w:hAnsi="黑体" w:eastAsia="黑体" w:cs="黑体"/>
                <w:b/>
                <w:color w:val="auto"/>
                <w:sz w:val="24"/>
                <w:szCs w:val="24"/>
                <w:highlight w:val="none"/>
                <w:lang w:val="en-US" w:eastAsia="zh-CN"/>
              </w:rPr>
              <w:t>投标人</w:t>
            </w:r>
            <w:r>
              <w:rPr>
                <w:rFonts w:hint="eastAsia" w:ascii="黑体" w:hAnsi="黑体" w:eastAsia="黑体" w:cs="黑体"/>
                <w:b/>
                <w:color w:val="auto"/>
                <w:sz w:val="24"/>
                <w:szCs w:val="24"/>
                <w:highlight w:val="none"/>
              </w:rPr>
              <w:t>如未按照以上要求提供该项目业绩完整资料的，评标委员会对该项业绩将不予采信。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9" w:type="pct"/>
            <w:noWrap w:val="0"/>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售后服务</w:t>
            </w:r>
          </w:p>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方案</w:t>
            </w:r>
          </w:p>
          <w:p>
            <w:pPr>
              <w:spacing w:line="360" w:lineRule="auto"/>
              <w:jc w:val="center"/>
              <w:rPr>
                <w:rFonts w:hint="eastAsia" w:ascii="黑体" w:hAnsi="黑体" w:eastAsia="黑体" w:cs="黑体"/>
                <w:color w:val="auto"/>
                <w:sz w:val="24"/>
                <w:szCs w:val="24"/>
                <w:highlight w:val="none"/>
              </w:rPr>
            </w:pPr>
          </w:p>
        </w:tc>
        <w:tc>
          <w:tcPr>
            <w:tcW w:w="415" w:type="pct"/>
            <w:noWrap w:val="0"/>
            <w:vAlign w:val="center"/>
          </w:tcPr>
          <w:p>
            <w:pPr>
              <w:spacing w:line="360" w:lineRule="auto"/>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w:t>
            </w:r>
          </w:p>
        </w:tc>
        <w:tc>
          <w:tcPr>
            <w:tcW w:w="4144" w:type="pct"/>
            <w:noWrap w:val="0"/>
            <w:vAlign w:val="center"/>
          </w:tcPr>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根据投标人针对本项目提出的售后服务方案包含但不限于售后服务承诺、产品售后质量保障措施、售后服务管理体系、售后服务响应和问题解决时间等方面内容，按以下量化指标和对应分值进行评审计分：</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1、有完善的售后服务体系，2、有专业服务团队，3、具体的响应时间，4、质量保障方案，5、故障出现解决方案。</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对照上列 5 项量化指标，每项按：</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①方案内容详细，针对性强、合理性高、可行性高，能完全满足并优于采购人要求的，计</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②方案内容一般，针对性一般、合理性、可行性一般，基本满足采购人要求的，基本符合计</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分；</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③方案内容较粗略，针对性、合理性、可行性较差的，欠符合计</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分的对应分值进行评分。</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注：本项“售后服务方案”评审因素汇总得分最多计</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分，未提供方案的不计分。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kern w:val="2"/>
                <w:sz w:val="24"/>
                <w:szCs w:val="24"/>
                <w:highlight w:val="none"/>
                <w:lang w:val="en-US" w:eastAsia="zh-CN" w:bidi="ar-SA"/>
              </w:rPr>
              <w:t>售后服务网点</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kern w:val="2"/>
                <w:sz w:val="24"/>
                <w:szCs w:val="24"/>
                <w:highlight w:val="none"/>
                <w:lang w:val="en-US" w:eastAsia="zh-CN" w:bidi="ar-SA"/>
              </w:rPr>
              <w:t>1分</w:t>
            </w:r>
          </w:p>
        </w:tc>
        <w:tc>
          <w:tcPr>
            <w:tcW w:w="41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w:t>
            </w:r>
            <w:r>
              <w:rPr>
                <w:rFonts w:hint="eastAsia" w:ascii="黑体" w:hAnsi="黑体" w:eastAsia="黑体" w:cs="黑体"/>
                <w:color w:val="auto"/>
                <w:sz w:val="24"/>
                <w:szCs w:val="24"/>
                <w:highlight w:val="none"/>
                <w:lang w:val="en-US" w:eastAsia="zh-CN"/>
              </w:rPr>
              <w:t>在福建省内有售后服务网点的得1分，需提供服务网点情况表、售后服务机构地址、人员名单、联系方式等佐证。</w:t>
            </w:r>
          </w:p>
        </w:tc>
      </w:tr>
    </w:tbl>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加分项（F4×A4）</w:t>
      </w:r>
    </w:p>
    <w:tbl>
      <w:tblPr>
        <w:tblStyle w:val="5"/>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7"/>
        <w:gridCol w:w="900"/>
        <w:gridCol w:w="79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w:t>
            </w:r>
          </w:p>
        </w:tc>
        <w:tc>
          <w:tcPr>
            <w:tcW w:w="45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分值</w:t>
            </w:r>
          </w:p>
        </w:tc>
        <w:tc>
          <w:tcPr>
            <w:tcW w:w="4045" w:type="pct"/>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节能、环境标志产品</w:t>
            </w:r>
          </w:p>
        </w:tc>
        <w:tc>
          <w:tcPr>
            <w:tcW w:w="45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7.20</w:t>
            </w:r>
          </w:p>
        </w:tc>
        <w:tc>
          <w:tcPr>
            <w:tcW w:w="7971" w:type="dxa"/>
            <w:vAlign w:val="top"/>
          </w:tcPr>
          <w:p>
            <w:pPr>
              <w:pStyle w:val="8"/>
              <w:jc w:val="both"/>
              <w:rPr>
                <w:rFonts w:hint="eastAsia" w:ascii="黑体" w:hAnsi="黑体" w:eastAsia="黑体" w:cs="黑体"/>
                <w:color w:val="auto"/>
                <w:sz w:val="24"/>
                <w:szCs w:val="24"/>
                <w:highlight w:val="none"/>
              </w:rPr>
            </w:pPr>
            <w:r>
              <w:rPr>
                <w:rFonts w:hint="eastAsia" w:ascii="黑体" w:hAnsi="黑体" w:eastAsia="黑体" w:cs="黑体"/>
                <w:sz w:val="24"/>
                <w:szCs w:val="24"/>
                <w:highlight w:val="none"/>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（4）中标候选人排列规则顺序如下：</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a.按照评标总得分（FA）由高到低顺序排列。</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b.评标总得分（FA）相同的，按照评标价（即价格扣除后的投标报价）由低到高顺序排列。</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c.评标总得分（FA）且评标价（即价格扣除后的投标报价）相同的并列。</w:t>
      </w: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采购包2：综合评分法</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（1）投标文件满足招标文件全部实质性要求，且按照评审因素的量化指标评审得分（即评标总得分）最高的投标人为中标候选人。</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各项评审因素的设置如下：</w:t>
      </w: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价格项（F1×A1）满分为</w:t>
      </w:r>
      <w:r>
        <w:rPr>
          <w:rFonts w:hint="eastAsia" w:ascii="黑体" w:hAnsi="黑体" w:eastAsia="黑体" w:cs="黑体"/>
          <w:b/>
          <w:bCs/>
          <w:color w:val="auto"/>
          <w:sz w:val="24"/>
          <w:szCs w:val="24"/>
          <w:highlight w:val="none"/>
          <w:lang w:val="en-US" w:eastAsia="zh-CN"/>
        </w:rPr>
        <w:t>3</w:t>
      </w:r>
      <w:r>
        <w:rPr>
          <w:rFonts w:hint="eastAsia" w:ascii="黑体" w:hAnsi="黑体" w:eastAsia="黑体" w:cs="黑体"/>
          <w:b/>
          <w:bCs/>
          <w:color w:val="auto"/>
          <w:sz w:val="24"/>
          <w:szCs w:val="24"/>
          <w:highlight w:val="none"/>
        </w:rPr>
        <w:t>0.00分</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价格扣除的规则如下：</w:t>
      </w:r>
    </w:p>
    <w:tbl>
      <w:tblPr>
        <w:tblStyle w:val="5"/>
        <w:tblW w:w="499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5"/>
        <w:gridCol w:w="1260"/>
        <w:gridCol w:w="947"/>
        <w:gridCol w:w="64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w:t>
            </w:r>
          </w:p>
        </w:tc>
        <w:tc>
          <w:tcPr>
            <w:tcW w:w="64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适用对象</w:t>
            </w:r>
          </w:p>
        </w:tc>
        <w:tc>
          <w:tcPr>
            <w:tcW w:w="4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比例</w:t>
            </w:r>
          </w:p>
        </w:tc>
        <w:tc>
          <w:tcPr>
            <w:tcW w:w="3291" w:type="pct"/>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小型、微型企业，监狱企业，残疾人福利性单位</w:t>
            </w:r>
          </w:p>
        </w:tc>
        <w:tc>
          <w:tcPr>
            <w:tcW w:w="64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投标人或者联合体均为小型、微型企业</w:t>
            </w:r>
          </w:p>
        </w:tc>
        <w:tc>
          <w:tcPr>
            <w:tcW w:w="4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15.00%</w:t>
            </w:r>
          </w:p>
        </w:tc>
        <w:tc>
          <w:tcPr>
            <w:tcW w:w="6478" w:type="dxa"/>
            <w:vAlign w:val="top"/>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sz w:val="24"/>
                <w:szCs w:val="24"/>
                <w:highlight w:val="none"/>
              </w:rPr>
              <w:t>小型、微型企业产品（中、大型企业产品不予扣除）：本项目为非专门面向中小企业采购，采购标的对应的中小企业划分标准所属行业</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lang w:val="en-US" w:eastAsia="zh-CN"/>
              </w:rPr>
              <w:t>工业</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 1、对符合财政部、工信部文件（财库〔2020〕46号）规定的小型、微型企业报价给予15%（工程项目为3%）的扣除，用扣除后的价格参加评审。应按第七章投标文件格式中规定填写并提供《中小企业声明函》（货物），声明函中“标的名称” 、“采购文件中明确的所属行业”项应根据第五章《采购标的一览表具体明细表》中规定准确填写,多品目（采购标的）的须逐条填列，“制造商为（企业名称）”项应准确填写对应的企业全称，“（中型企业、小型企业、微型企业）”项应明确填写属于中型企业、小型企业或是微型企业，否则，其提供的中小企业声明将被判定为无效声明函，不予价格扣除,由此造成的后果由投标人自行承担。 2、对符合财政部、司法部文件（财库[2014]68号）规定的监狱企业(以下简称监狱企业)参加政府采购活动视同小型、微型企业，提供货物（承接的服务）为本单位制造的，其报价享受15%的评审价格扣除优惠，须提供由省级以上监狱管理局、戒毒管理局（含新疆生产建设兵团）出具的属于监狱企业的证明文件，否则不予价格扣除。 3、对符合财政部、民政部、中国残联文件（财库[2017]141号）规定的残疾人福利性单位参加政府采购活动视同小型、微型企业，提供《残疾人福利性单位声明函》并对声明的真实性负责，其报价享受15%（工程项目为3%）的评审价格扣除优惠。对残疾人福利性单位与其他组织组成联合体参与政府采购活动的，残疾人福利性单位的协议合同金额占总合同金额30%以上的，给予联合体合同金额5%（工程项目为1%）的价格扣除。残疾人福利性单位参与货物项目的，须在投标文件中写明具体哪些货物是由本单位制造，或者由其他残疾人福利性单位制造（不包括使用非残疾人福利性单位注册商标的货物），对其进行标注并提供有分项报价表，否则不予价格扣除。残疾人福利性单位视同小型、微型企业。残疾人福利性单位属于小型、微型企业的，不重复享受政策。 注：投标人提供声明函内容不实的或提供虚假证明文件的，均属于提供虚假材料谋取中标、成交，一经发现将依照《中华人民共和国政府采购法》等国家有关规定追究相应责任。</w:t>
            </w:r>
          </w:p>
        </w:tc>
      </w:tr>
    </w:tbl>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其他：无</w:t>
      </w: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技术项（F2×A2）满分为</w:t>
      </w:r>
      <w:r>
        <w:rPr>
          <w:rFonts w:hint="eastAsia" w:ascii="黑体" w:hAnsi="黑体" w:eastAsia="黑体" w:cs="黑体"/>
          <w:b/>
          <w:bCs/>
          <w:color w:val="auto"/>
          <w:sz w:val="24"/>
          <w:szCs w:val="24"/>
          <w:highlight w:val="none"/>
          <w:lang w:val="en-US" w:eastAsia="zh-CN"/>
        </w:rPr>
        <w:t>60</w:t>
      </w:r>
      <w:r>
        <w:rPr>
          <w:rFonts w:hint="eastAsia" w:ascii="黑体" w:hAnsi="黑体" w:eastAsia="黑体" w:cs="黑体"/>
          <w:b/>
          <w:bCs/>
          <w:color w:val="auto"/>
          <w:sz w:val="24"/>
          <w:szCs w:val="24"/>
          <w:highlight w:val="none"/>
        </w:rPr>
        <w:t>.00分</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810"/>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19" w:type="pct"/>
            <w:noWrap w:val="0"/>
            <w:vAlign w:val="center"/>
          </w:tcPr>
          <w:p>
            <w:pPr>
              <w:pStyle w:val="8"/>
              <w:spacing w:line="360" w:lineRule="auto"/>
              <w:jc w:val="center"/>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项目</w:t>
            </w:r>
          </w:p>
        </w:tc>
        <w:tc>
          <w:tcPr>
            <w:tcW w:w="411" w:type="pct"/>
            <w:noWrap w:val="0"/>
            <w:vAlign w:val="center"/>
          </w:tcPr>
          <w:p>
            <w:pPr>
              <w:pStyle w:val="8"/>
              <w:spacing w:line="360" w:lineRule="auto"/>
              <w:jc w:val="center"/>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值</w:t>
            </w:r>
          </w:p>
        </w:tc>
        <w:tc>
          <w:tcPr>
            <w:tcW w:w="4168" w:type="pct"/>
            <w:noWrap w:val="0"/>
            <w:vAlign w:val="top"/>
          </w:tcPr>
          <w:p>
            <w:pPr>
              <w:pStyle w:val="8"/>
              <w:spacing w:line="360" w:lineRule="auto"/>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9" w:type="pct"/>
            <w:noWrap w:val="0"/>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产品技术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参数</w:t>
            </w:r>
            <w:r>
              <w:rPr>
                <w:rFonts w:hint="eastAsia" w:ascii="黑体" w:hAnsi="黑体" w:eastAsia="黑体" w:cs="黑体"/>
                <w:color w:val="auto"/>
                <w:sz w:val="24"/>
                <w:szCs w:val="24"/>
                <w:highlight w:val="none"/>
                <w:lang w:val="en-US" w:eastAsia="zh-CN"/>
              </w:rPr>
              <w:t>1</w:t>
            </w:r>
          </w:p>
        </w:tc>
        <w:tc>
          <w:tcPr>
            <w:tcW w:w="41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48</w:t>
            </w:r>
            <w:r>
              <w:rPr>
                <w:rFonts w:hint="eastAsia" w:ascii="黑体" w:hAnsi="黑体" w:eastAsia="黑体" w:cs="黑体"/>
                <w:color w:val="auto"/>
                <w:sz w:val="24"/>
                <w:szCs w:val="24"/>
                <w:highlight w:val="none"/>
              </w:rPr>
              <w:t>分</w:t>
            </w:r>
          </w:p>
        </w:tc>
        <w:tc>
          <w:tcPr>
            <w:tcW w:w="4168" w:type="pct"/>
            <w:noWrap w:val="0"/>
            <w:vAlign w:val="center"/>
          </w:tcPr>
          <w:p>
            <w:pPr>
              <w:spacing w:line="360" w:lineRule="auto"/>
              <w:jc w:val="left"/>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1.投标文件中提供《货物说明一览表》、《技术响应/偏离表》、产品技术规格书(或使用说明书)：缺少任意一份资料的，本项计 0分；</w:t>
            </w:r>
          </w:p>
          <w:p>
            <w:pPr>
              <w:spacing w:line="360" w:lineRule="auto"/>
              <w:jc w:val="left"/>
              <w:rPr>
                <w:rFonts w:hint="eastAsia" w:ascii="黑体" w:hAnsi="黑体" w:eastAsia="黑体" w:cs="黑体"/>
                <w:b w:val="0"/>
                <w:bCs w:val="0"/>
                <w:color w:val="auto"/>
                <w:sz w:val="24"/>
                <w:szCs w:val="24"/>
                <w:highlight w:val="none"/>
                <w:u w:val="none"/>
              </w:rPr>
            </w:pPr>
            <w:r>
              <w:rPr>
                <w:rFonts w:hint="eastAsia" w:ascii="黑体" w:hAnsi="黑体" w:eastAsia="黑体" w:cs="黑体"/>
                <w:b w:val="0"/>
                <w:bCs w:val="0"/>
                <w:color w:val="auto"/>
                <w:sz w:val="24"/>
                <w:szCs w:val="24"/>
                <w:highlight w:val="none"/>
                <w:u w:val="none"/>
                <w:lang w:val="en-US" w:eastAsia="zh-CN"/>
              </w:rPr>
              <w:t>2.</w:t>
            </w:r>
            <w:r>
              <w:rPr>
                <w:rFonts w:hint="eastAsia" w:ascii="黑体" w:hAnsi="黑体" w:eastAsia="黑体" w:cs="黑体"/>
                <w:b w:val="0"/>
                <w:bCs w:val="0"/>
                <w:color w:val="auto"/>
                <w:sz w:val="24"/>
                <w:szCs w:val="24"/>
                <w:highlight w:val="none"/>
                <w:u w:val="none"/>
              </w:rPr>
              <w:t>技术要求中标注“</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rPr>
              <w:t>”符号的技术参数有不响应或负偏离的视为未实质性响应招标文件要求，投标无效；标注“▲”符号的技术参数</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lang w:val="en-US" w:eastAsia="zh-CN"/>
              </w:rPr>
              <w:t>共12项）</w:t>
            </w:r>
            <w:r>
              <w:rPr>
                <w:rFonts w:hint="eastAsia" w:ascii="黑体" w:hAnsi="黑体" w:eastAsia="黑体" w:cs="黑体"/>
                <w:b w:val="0"/>
                <w:bCs w:val="0"/>
                <w:color w:val="auto"/>
                <w:sz w:val="24"/>
                <w:szCs w:val="24"/>
                <w:highlight w:val="none"/>
                <w:u w:val="none"/>
              </w:rPr>
              <w:t>每负偏离一项扣</w:t>
            </w:r>
            <w:r>
              <w:rPr>
                <w:rFonts w:hint="eastAsia" w:ascii="黑体" w:hAnsi="黑体" w:eastAsia="黑体" w:cs="黑体"/>
                <w:b w:val="0"/>
                <w:bCs w:val="0"/>
                <w:color w:val="auto"/>
                <w:sz w:val="24"/>
                <w:szCs w:val="24"/>
                <w:highlight w:val="none"/>
                <w:u w:val="none"/>
                <w:lang w:val="en-US" w:eastAsia="zh-CN"/>
              </w:rPr>
              <w:t>1.8</w:t>
            </w:r>
            <w:r>
              <w:rPr>
                <w:rFonts w:hint="eastAsia" w:ascii="黑体" w:hAnsi="黑体" w:eastAsia="黑体" w:cs="黑体"/>
                <w:b w:val="0"/>
                <w:bCs w:val="0"/>
                <w:color w:val="auto"/>
                <w:sz w:val="24"/>
                <w:szCs w:val="24"/>
                <w:highlight w:val="none"/>
                <w:u w:val="none"/>
              </w:rPr>
              <w:t>分</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rPr>
              <w:t>一般技术指标（未标注“</w:t>
            </w:r>
            <w:r>
              <w:rPr>
                <w:rFonts w:hint="eastAsia" w:ascii="黑体" w:hAnsi="黑体" w:eastAsia="黑体" w:cs="黑体"/>
                <w:b w:val="0"/>
                <w:bCs w:val="0"/>
                <w:color w:val="auto"/>
                <w:sz w:val="24"/>
                <w:szCs w:val="24"/>
                <w:highlight w:val="none"/>
                <w:u w:val="none"/>
                <w:lang w:eastAsia="zh-CN"/>
              </w:rPr>
              <w:t>★或</w:t>
            </w:r>
            <w:r>
              <w:rPr>
                <w:rFonts w:hint="eastAsia" w:ascii="黑体" w:hAnsi="黑体" w:eastAsia="黑体" w:cs="黑体"/>
                <w:b w:val="0"/>
                <w:bCs w:val="0"/>
                <w:color w:val="auto"/>
                <w:sz w:val="24"/>
                <w:szCs w:val="24"/>
                <w:highlight w:val="none"/>
                <w:u w:val="none"/>
              </w:rPr>
              <w:t>▲”号</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lang w:val="en-US" w:eastAsia="zh-CN"/>
              </w:rPr>
              <w:t>共计33项</w:t>
            </w:r>
            <w:r>
              <w:rPr>
                <w:rFonts w:hint="eastAsia" w:ascii="黑体" w:hAnsi="黑体" w:eastAsia="黑体" w:cs="黑体"/>
                <w:b w:val="0"/>
                <w:bCs w:val="0"/>
                <w:color w:val="auto"/>
                <w:sz w:val="24"/>
                <w:szCs w:val="24"/>
                <w:highlight w:val="none"/>
                <w:u w:val="none"/>
              </w:rPr>
              <w:t>）每负偏离一项扣</w:t>
            </w:r>
            <w:r>
              <w:rPr>
                <w:rFonts w:hint="eastAsia" w:ascii="黑体" w:hAnsi="黑体" w:eastAsia="黑体" w:cs="黑体"/>
                <w:b w:val="0"/>
                <w:bCs w:val="0"/>
                <w:color w:val="auto"/>
                <w:sz w:val="24"/>
                <w:szCs w:val="24"/>
                <w:highlight w:val="none"/>
                <w:u w:val="none"/>
                <w:lang w:val="en-US" w:eastAsia="zh-CN"/>
              </w:rPr>
              <w:t>0.8</w:t>
            </w:r>
            <w:r>
              <w:rPr>
                <w:rFonts w:hint="eastAsia" w:ascii="黑体" w:hAnsi="黑体" w:eastAsia="黑体" w:cs="黑体"/>
                <w:b w:val="0"/>
                <w:bCs w:val="0"/>
                <w:color w:val="auto"/>
                <w:sz w:val="24"/>
                <w:szCs w:val="24"/>
                <w:highlight w:val="none"/>
                <w:u w:val="none"/>
              </w:rPr>
              <w:t>分</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rPr>
              <w:t>扣完为止。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备</w:t>
            </w:r>
            <w:r>
              <w:rPr>
                <w:rFonts w:hint="eastAsia" w:ascii="黑体" w:hAnsi="黑体" w:eastAsia="黑体" w:cs="黑体"/>
                <w:b/>
                <w:bCs/>
                <w:color w:val="auto"/>
                <w:sz w:val="24"/>
                <w:szCs w:val="24"/>
                <w:highlight w:val="none"/>
                <w:u w:val="none"/>
              </w:rPr>
              <w:t>注：</w:t>
            </w:r>
            <w:r>
              <w:rPr>
                <w:rFonts w:hint="eastAsia" w:ascii="黑体" w:hAnsi="黑体" w:eastAsia="黑体" w:cs="黑体"/>
                <w:b/>
                <w:bCs/>
                <w:color w:val="auto"/>
                <w:sz w:val="24"/>
                <w:szCs w:val="24"/>
                <w:highlight w:val="none"/>
                <w:u w:val="none"/>
                <w:lang w:val="en-US" w:eastAsia="zh-CN"/>
              </w:rPr>
              <w:t>技术参数中有明确佐证资料的，按技术参数要求提供佐证资料，未做要求的按如下方式提供佐证资料：1.</w:t>
            </w:r>
            <w:r>
              <w:rPr>
                <w:rFonts w:hint="eastAsia" w:ascii="黑体" w:hAnsi="黑体" w:eastAsia="黑体" w:cs="黑体"/>
                <w:b w:val="0"/>
                <w:bCs w:val="0"/>
                <w:color w:val="auto"/>
                <w:sz w:val="24"/>
                <w:szCs w:val="24"/>
                <w:highlight w:val="none"/>
                <w:u w:val="none"/>
              </w:rPr>
              <w:t>标注“</w:t>
            </w:r>
            <w:r>
              <w:rPr>
                <w:rFonts w:hint="eastAsia" w:ascii="黑体" w:hAnsi="黑体" w:eastAsia="黑体" w:cs="黑体"/>
                <w:b w:val="0"/>
                <w:bCs w:val="0"/>
                <w:color w:val="auto"/>
                <w:sz w:val="24"/>
                <w:szCs w:val="24"/>
                <w:highlight w:val="none"/>
                <w:u w:val="none"/>
                <w:lang w:eastAsia="zh-CN"/>
              </w:rPr>
              <w:t>★或</w:t>
            </w:r>
            <w:r>
              <w:rPr>
                <w:rFonts w:hint="eastAsia" w:ascii="黑体" w:hAnsi="黑体" w:eastAsia="黑体" w:cs="黑体"/>
                <w:b w:val="0"/>
                <w:bCs w:val="0"/>
                <w:color w:val="auto"/>
                <w:sz w:val="24"/>
                <w:szCs w:val="24"/>
                <w:highlight w:val="none"/>
                <w:u w:val="none"/>
              </w:rPr>
              <w:t>▲”号</w:t>
            </w:r>
            <w:r>
              <w:rPr>
                <w:rFonts w:hint="eastAsia" w:ascii="黑体" w:hAnsi="黑体" w:eastAsia="黑体" w:cs="黑体"/>
                <w:b w:val="0"/>
                <w:bCs w:val="0"/>
                <w:color w:val="auto"/>
                <w:sz w:val="24"/>
                <w:szCs w:val="24"/>
                <w:highlight w:val="none"/>
                <w:u w:val="none"/>
                <w:lang w:val="en-US" w:eastAsia="zh-CN"/>
              </w:rPr>
              <w:t>的技术参数以供应商</w:t>
            </w:r>
            <w:r>
              <w:rPr>
                <w:rFonts w:hint="eastAsia" w:ascii="黑体" w:hAnsi="黑体" w:eastAsia="黑体" w:cs="黑体"/>
                <w:b w:val="0"/>
                <w:bCs w:val="0"/>
                <w:strike w:val="0"/>
                <w:dstrike w:val="0"/>
                <w:color w:val="auto"/>
                <w:sz w:val="24"/>
                <w:szCs w:val="24"/>
                <w:highlight w:val="none"/>
                <w:u w:val="none"/>
                <w:lang w:val="en-US" w:eastAsia="zh-CN"/>
              </w:rPr>
              <w:t>提供的</w:t>
            </w:r>
            <w:r>
              <w:rPr>
                <w:rFonts w:hint="eastAsia" w:ascii="黑体" w:hAnsi="黑体" w:eastAsia="黑体" w:cs="黑体"/>
                <w:b w:val="0"/>
                <w:bCs w:val="0"/>
                <w:strike w:val="0"/>
                <w:dstrike w:val="0"/>
                <w:color w:val="auto"/>
                <w:sz w:val="24"/>
                <w:szCs w:val="24"/>
                <w:highlight w:val="none"/>
                <w:u w:val="none"/>
              </w:rPr>
              <w:t>检测报告</w:t>
            </w:r>
            <w:r>
              <w:rPr>
                <w:rFonts w:hint="eastAsia" w:ascii="黑体" w:hAnsi="黑体" w:eastAsia="黑体" w:cs="黑体"/>
                <w:b w:val="0"/>
                <w:bCs w:val="0"/>
                <w:strike w:val="0"/>
                <w:dstrike w:val="0"/>
                <w:color w:val="auto"/>
                <w:sz w:val="24"/>
                <w:szCs w:val="24"/>
                <w:highlight w:val="none"/>
                <w:u w:val="none"/>
                <w:lang w:val="en-US" w:eastAsia="zh-CN"/>
              </w:rPr>
              <w:t>佐证，</w:t>
            </w:r>
            <w:r>
              <w:rPr>
                <w:rFonts w:hint="eastAsia" w:ascii="黑体" w:hAnsi="黑体" w:eastAsia="黑体" w:cs="黑体"/>
                <w:b w:val="0"/>
                <w:bCs w:val="0"/>
                <w:strike w:val="0"/>
                <w:dstrike w:val="0"/>
                <w:color w:val="auto"/>
                <w:sz w:val="24"/>
                <w:szCs w:val="24"/>
                <w:highlight w:val="none"/>
                <w:u w:val="none"/>
              </w:rPr>
              <w:t>所提供检测报告必须是中国国家认证认可监督管理委员会颁发的具有CMA或CNAS资格的检测机构出具的检测报告</w:t>
            </w:r>
            <w:r>
              <w:rPr>
                <w:rFonts w:hint="eastAsia" w:ascii="黑体" w:hAnsi="黑体" w:eastAsia="黑体" w:cs="黑体"/>
                <w:b w:val="0"/>
                <w:bCs w:val="0"/>
                <w:strike w:val="0"/>
                <w:dstrike w:val="0"/>
                <w:color w:val="auto"/>
                <w:sz w:val="24"/>
                <w:szCs w:val="24"/>
                <w:highlight w:val="none"/>
                <w:u w:val="none"/>
                <w:lang w:val="en-US" w:eastAsia="zh-CN"/>
              </w:rPr>
              <w:t>；2.</w:t>
            </w:r>
            <w:r>
              <w:rPr>
                <w:rFonts w:hint="eastAsia" w:ascii="黑体" w:hAnsi="黑体" w:eastAsia="黑体" w:cs="黑体"/>
                <w:b w:val="0"/>
                <w:bCs w:val="0"/>
                <w:color w:val="auto"/>
                <w:sz w:val="24"/>
                <w:szCs w:val="24"/>
                <w:highlight w:val="none"/>
                <w:u w:val="none"/>
              </w:rPr>
              <w:t>一般技术指标以投标人提供的《技术偏离表》为准，若《技术偏离表》与投标文件中提供的检验报告或产品技术规格书等证明材料不一致的，以检验报告或产品技术规格书等证明材料为准</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lang w:val="en-US" w:eastAsia="zh-CN"/>
              </w:rPr>
              <w:t>3.</w:t>
            </w:r>
            <w:r>
              <w:rPr>
                <w:rFonts w:hint="eastAsia" w:ascii="黑体" w:hAnsi="黑体" w:eastAsia="黑体" w:cs="黑体"/>
                <w:b w:val="0"/>
                <w:bCs w:val="0"/>
                <w:color w:val="auto"/>
                <w:sz w:val="24"/>
                <w:szCs w:val="24"/>
                <w:highlight w:val="none"/>
                <w:u w:val="none"/>
              </w:rPr>
              <w:t>技术响应情况须完整填列在《技术和服务要求响应表》中,未填列或漏项的，评标委员会将按照不利于投标人的判定进行评审（即认定为负偏离）</w:t>
            </w:r>
            <w:r>
              <w:rPr>
                <w:rFonts w:hint="eastAsia" w:ascii="黑体" w:hAnsi="黑体" w:eastAsia="黑体" w:cs="黑体"/>
                <w:b w:val="0"/>
                <w:bCs w:val="0"/>
                <w:color w:val="auto"/>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9" w:type="pct"/>
            <w:noWrap w:val="0"/>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产品技术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参数</w:t>
            </w:r>
          </w:p>
        </w:tc>
        <w:tc>
          <w:tcPr>
            <w:tcW w:w="41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3分</w:t>
            </w:r>
          </w:p>
        </w:tc>
        <w:tc>
          <w:tcPr>
            <w:tcW w:w="41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lang w:eastAsia="zh-CN"/>
              </w:rPr>
              <w:t>森林防火服面料的损坏长度</w:t>
            </w:r>
            <w:r>
              <w:rPr>
                <w:rFonts w:hint="eastAsia" w:ascii="黑体" w:hAnsi="黑体" w:eastAsia="黑体" w:cs="黑体"/>
                <w:color w:val="auto"/>
                <w:sz w:val="24"/>
                <w:szCs w:val="24"/>
                <w:highlight w:val="none"/>
                <w:lang w:val="en-US" w:eastAsia="zh-CN"/>
              </w:rPr>
              <w:t>T值和 W值同时</w:t>
            </w:r>
            <w:r>
              <w:rPr>
                <w:rFonts w:hint="eastAsia" w:ascii="黑体" w:hAnsi="黑体" w:eastAsia="黑体" w:cs="黑体"/>
                <w:color w:val="auto"/>
                <w:sz w:val="24"/>
                <w:szCs w:val="24"/>
                <w:highlight w:val="none"/>
              </w:rPr>
              <w:t>优于招标文件技术参数要求达20%及以上可得</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lang w:eastAsia="zh-CN"/>
              </w:rPr>
              <w:t>森林防火服面料的</w:t>
            </w:r>
            <w:r>
              <w:rPr>
                <w:rFonts w:hint="eastAsia" w:ascii="黑体" w:hAnsi="黑体" w:eastAsia="黑体" w:cs="黑体"/>
                <w:color w:val="auto"/>
                <w:sz w:val="24"/>
                <w:szCs w:val="24"/>
                <w:highlight w:val="none"/>
              </w:rPr>
              <w:t>断裂强度</w:t>
            </w:r>
            <w:r>
              <w:rPr>
                <w:rFonts w:hint="eastAsia" w:ascii="黑体" w:hAnsi="黑体" w:eastAsia="黑体" w:cs="黑体"/>
                <w:color w:val="auto"/>
                <w:sz w:val="24"/>
                <w:szCs w:val="24"/>
                <w:highlight w:val="none"/>
                <w:lang w:val="en-US" w:eastAsia="zh-CN"/>
              </w:rPr>
              <w:t>T值和 W值同时</w:t>
            </w:r>
            <w:r>
              <w:rPr>
                <w:rFonts w:hint="eastAsia" w:ascii="黑体" w:hAnsi="黑体" w:eastAsia="黑体" w:cs="黑体"/>
                <w:color w:val="auto"/>
                <w:sz w:val="24"/>
                <w:szCs w:val="24"/>
                <w:highlight w:val="none"/>
              </w:rPr>
              <w:t>优于招标文件技术参数要求达20%及以上可得</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lang w:eastAsia="zh-CN"/>
              </w:rPr>
              <w:t>大腿处加强面料的</w:t>
            </w:r>
            <w:r>
              <w:rPr>
                <w:rFonts w:hint="eastAsia" w:ascii="黑体" w:hAnsi="黑体" w:eastAsia="黑体" w:cs="黑体"/>
                <w:color w:val="auto"/>
                <w:sz w:val="24"/>
                <w:szCs w:val="24"/>
                <w:highlight w:val="none"/>
              </w:rPr>
              <w:t>损毁长度</w:t>
            </w:r>
            <w:r>
              <w:rPr>
                <w:rFonts w:hint="eastAsia" w:ascii="黑体" w:hAnsi="黑体" w:eastAsia="黑体" w:cs="黑体"/>
                <w:color w:val="auto"/>
                <w:sz w:val="24"/>
                <w:szCs w:val="24"/>
                <w:highlight w:val="none"/>
                <w:lang w:val="en-US" w:eastAsia="zh-CN"/>
              </w:rPr>
              <w:t>T值和 W值同时</w:t>
            </w:r>
            <w:r>
              <w:rPr>
                <w:rFonts w:hint="eastAsia" w:ascii="黑体" w:hAnsi="黑体" w:eastAsia="黑体" w:cs="黑体"/>
                <w:color w:val="auto"/>
                <w:sz w:val="24"/>
                <w:szCs w:val="24"/>
                <w:highlight w:val="none"/>
              </w:rPr>
              <w:t>优于招标文件技术参数要求达20%及以上可得</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分，（以投标文件中提供的检验报告扫描件为准，未提供不得分）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样品</w:t>
            </w:r>
          </w:p>
        </w:tc>
        <w:tc>
          <w:tcPr>
            <w:tcW w:w="41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tc>
        <w:tc>
          <w:tcPr>
            <w:tcW w:w="41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依据投标人提供</w:t>
            </w:r>
            <w:r>
              <w:rPr>
                <w:rFonts w:hint="eastAsia" w:ascii="黑体" w:hAnsi="黑体" w:eastAsia="黑体" w:cs="黑体"/>
                <w:color w:val="auto"/>
                <w:sz w:val="24"/>
                <w:szCs w:val="24"/>
                <w:highlight w:val="none"/>
                <w:lang w:eastAsia="zh-CN"/>
              </w:rPr>
              <w:t>灭火阻燃服套装（核心产品）</w:t>
            </w:r>
            <w:r>
              <w:rPr>
                <w:rFonts w:hint="eastAsia" w:ascii="黑体" w:hAnsi="黑体" w:eastAsia="黑体" w:cs="黑体"/>
                <w:color w:val="auto"/>
                <w:sz w:val="24"/>
                <w:szCs w:val="24"/>
                <w:highlight w:val="none"/>
              </w:rPr>
              <w:t>样品的参数指标、材质、外观、制作工艺、性能、实用性以及对采购需求响应情况等内容进行横向对比打分，最优的得</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分，一般的得</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分，差的得</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产品质量保证措施</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tc>
        <w:tc>
          <w:tcPr>
            <w:tcW w:w="82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依据投标人提供的对本项目各主要工作质量保证措施的有效性、合理性、及时性等内容进行横向对比打分，最优的得</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分，一般的得</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分，差的1分，没有不得分。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项目进度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安排</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tc>
        <w:tc>
          <w:tcPr>
            <w:tcW w:w="82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依据投标人提供的项目进度安排及各阶段详细工作计划得当等内容进行横向对比，最优的得</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分，一般的得</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分，差的1分，没有不得分。</w:t>
            </w:r>
          </w:p>
        </w:tc>
      </w:tr>
    </w:tbl>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商务项（F3×A3）满分为</w:t>
      </w:r>
      <w:r>
        <w:rPr>
          <w:rFonts w:hint="eastAsia" w:ascii="黑体" w:hAnsi="黑体" w:eastAsia="黑体" w:cs="黑体"/>
          <w:b/>
          <w:bCs/>
          <w:color w:val="auto"/>
          <w:sz w:val="24"/>
          <w:szCs w:val="24"/>
          <w:highlight w:val="none"/>
          <w:lang w:val="en-US" w:eastAsia="zh-CN"/>
        </w:rPr>
        <w:t>10</w:t>
      </w:r>
      <w:r>
        <w:rPr>
          <w:rFonts w:hint="eastAsia" w:ascii="黑体" w:hAnsi="黑体" w:eastAsia="黑体" w:cs="黑体"/>
          <w:b/>
          <w:bCs/>
          <w:color w:val="auto"/>
          <w:sz w:val="24"/>
          <w:szCs w:val="24"/>
          <w:highlight w:val="none"/>
        </w:rPr>
        <w:t>.00分</w:t>
      </w:r>
    </w:p>
    <w:tbl>
      <w:tblPr>
        <w:tblStyle w:val="5"/>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9"/>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9" w:type="pct"/>
            <w:noWrap w:val="0"/>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w:t>
            </w:r>
          </w:p>
        </w:tc>
        <w:tc>
          <w:tcPr>
            <w:tcW w:w="371" w:type="pct"/>
            <w:noWrap w:val="0"/>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值</w:t>
            </w:r>
          </w:p>
        </w:tc>
        <w:tc>
          <w:tcPr>
            <w:tcW w:w="3869" w:type="pct"/>
            <w:noWrap w:val="0"/>
            <w:vAlign w:val="top"/>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9" w:type="pct"/>
            <w:noWrap w:val="0"/>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综合实力</w:t>
            </w:r>
          </w:p>
        </w:tc>
        <w:tc>
          <w:tcPr>
            <w:tcW w:w="371" w:type="pct"/>
            <w:noWrap w:val="0"/>
            <w:vAlign w:val="center"/>
          </w:tcPr>
          <w:p>
            <w:pPr>
              <w:spacing w:line="360" w:lineRule="auto"/>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w:t>
            </w:r>
          </w:p>
        </w:tc>
        <w:tc>
          <w:tcPr>
            <w:tcW w:w="3869" w:type="pct"/>
            <w:noWrap w:val="0"/>
            <w:vAlign w:val="center"/>
          </w:tcPr>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投标人具有质量管理体系认证证书、职业健康安全管理体系认证证书、环境管理体系认证证书，</w:t>
            </w:r>
            <w:r>
              <w:rPr>
                <w:rFonts w:hint="eastAsia" w:ascii="黑体" w:hAnsi="黑体" w:eastAsia="黑体" w:cs="黑体"/>
                <w:color w:val="auto"/>
                <w:sz w:val="24"/>
                <w:szCs w:val="24"/>
                <w:highlight w:val="none"/>
                <w:lang w:val="en-US" w:eastAsia="zh-CN"/>
              </w:rPr>
              <w:t>每具备一项得1分，满分3分</w:t>
            </w:r>
            <w:r>
              <w:rPr>
                <w:rFonts w:hint="eastAsia" w:ascii="黑体" w:hAnsi="黑体" w:eastAsia="黑体" w:cs="黑体"/>
                <w:color w:val="auto"/>
                <w:sz w:val="24"/>
                <w:szCs w:val="24"/>
                <w:highlight w:val="none"/>
              </w:rPr>
              <w:t>。</w:t>
            </w:r>
          </w:p>
          <w:p>
            <w:pPr>
              <w:spacing w:line="360" w:lineRule="auto"/>
              <w:jc w:val="left"/>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评审依据：提供国家认证认可监督管理委员网站截图（https://www.cnca.gov.cn/）及有效期内的证书扫描件并加盖投标人公章。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类似业绩</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3分</w:t>
            </w:r>
          </w:p>
        </w:tc>
        <w:tc>
          <w:tcPr>
            <w:tcW w:w="3869" w:type="pct"/>
            <w:noWrap w:val="0"/>
            <w:vAlign w:val="center"/>
          </w:tcPr>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 2020 年以来有相关类似项目业绩，每提供 1 个</w:t>
            </w:r>
            <w:r>
              <w:rPr>
                <w:rFonts w:hint="eastAsia" w:ascii="黑体" w:hAnsi="黑体" w:eastAsia="黑体" w:cs="黑体"/>
                <w:color w:val="auto"/>
                <w:sz w:val="24"/>
                <w:szCs w:val="24"/>
                <w:highlight w:val="none"/>
                <w:lang w:val="en-US" w:eastAsia="zh-CN"/>
              </w:rPr>
              <w:t>得</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分，最多</w:t>
            </w:r>
            <w:r>
              <w:rPr>
                <w:rFonts w:hint="eastAsia" w:ascii="黑体" w:hAnsi="黑体" w:eastAsia="黑体" w:cs="黑体"/>
                <w:color w:val="auto"/>
                <w:sz w:val="24"/>
                <w:szCs w:val="24"/>
                <w:highlight w:val="none"/>
                <w:lang w:val="en-US" w:eastAsia="zh-CN"/>
              </w:rPr>
              <w:t>得3</w:t>
            </w:r>
            <w:r>
              <w:rPr>
                <w:rFonts w:hint="eastAsia" w:ascii="黑体" w:hAnsi="黑体" w:eastAsia="黑体" w:cs="黑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b/>
                <w:color w:val="auto"/>
                <w:sz w:val="24"/>
                <w:szCs w:val="24"/>
                <w:highlight w:val="none"/>
                <w:lang w:val="en-US" w:eastAsia="zh-CN"/>
              </w:rPr>
              <w:t>投标人</w:t>
            </w:r>
            <w:r>
              <w:rPr>
                <w:rFonts w:hint="eastAsia" w:ascii="黑体" w:hAnsi="黑体" w:eastAsia="黑体" w:cs="黑体"/>
                <w:b/>
                <w:color w:val="auto"/>
                <w:sz w:val="24"/>
                <w:szCs w:val="24"/>
                <w:highlight w:val="none"/>
              </w:rPr>
              <w:t>需提供该业绩项目以下资料有效复印件：①中标（成交）公告（提供相关网站中标（成交）公告的下载网页及其网址）；②中标（成交）通知书复印件； ③采购合同文本复印件；④能够证明该业绩项目已经采购人验收合格的相关证明文件复印件；备注：上述4项缺一不可，</w:t>
            </w:r>
            <w:r>
              <w:rPr>
                <w:rFonts w:hint="eastAsia" w:ascii="黑体" w:hAnsi="黑体" w:eastAsia="黑体" w:cs="黑体"/>
                <w:b/>
                <w:color w:val="auto"/>
                <w:sz w:val="24"/>
                <w:szCs w:val="24"/>
                <w:highlight w:val="none"/>
                <w:lang w:val="en-US" w:eastAsia="zh-CN"/>
              </w:rPr>
              <w:t>投标人</w:t>
            </w:r>
            <w:r>
              <w:rPr>
                <w:rFonts w:hint="eastAsia" w:ascii="黑体" w:hAnsi="黑体" w:eastAsia="黑体" w:cs="黑体"/>
                <w:b/>
                <w:color w:val="auto"/>
                <w:sz w:val="24"/>
                <w:szCs w:val="24"/>
                <w:highlight w:val="none"/>
              </w:rPr>
              <w:t>如未按照以上要求提供该项目业绩完整资料的，评标委员会对该项业绩将不予采信。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9" w:type="pct"/>
            <w:noWrap w:val="0"/>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售后服务</w:t>
            </w:r>
          </w:p>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方案</w:t>
            </w:r>
          </w:p>
          <w:p>
            <w:pPr>
              <w:spacing w:line="360" w:lineRule="auto"/>
              <w:jc w:val="center"/>
              <w:rPr>
                <w:rFonts w:hint="eastAsia" w:ascii="黑体" w:hAnsi="黑体" w:eastAsia="黑体" w:cs="黑体"/>
                <w:color w:val="auto"/>
                <w:kern w:val="2"/>
                <w:sz w:val="24"/>
                <w:szCs w:val="24"/>
                <w:highlight w:val="none"/>
                <w:lang w:val="en-US" w:eastAsia="zh-CN" w:bidi="ar-SA"/>
              </w:rPr>
            </w:pPr>
          </w:p>
        </w:tc>
        <w:tc>
          <w:tcPr>
            <w:tcW w:w="371" w:type="pct"/>
            <w:noWrap w:val="0"/>
            <w:vAlign w:val="center"/>
          </w:tcPr>
          <w:p>
            <w:pPr>
              <w:spacing w:line="360" w:lineRule="auto"/>
              <w:jc w:val="center"/>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3分</w:t>
            </w:r>
          </w:p>
        </w:tc>
        <w:tc>
          <w:tcPr>
            <w:tcW w:w="3869" w:type="pct"/>
            <w:noWrap w:val="0"/>
            <w:vAlign w:val="center"/>
          </w:tcPr>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根据投标人针对本项目提出的售后服务方案包含但不限于售后服务承诺、产品售后质量保障措施、售后服务管理体系、售后服务响应和问题解决时间等方面内容，按以下量化指标和对应分值进行评审计分：</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1、有完善的售后服务体系，2、有专业服务团队，3、具体的响应时间，4、质量保障方案，5、故障出现解决方案。</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对照上列 5 项量化指标，每项按：</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①方案内容详细，针对性强、合理性高、可行性高，能完全满足并优于采购人要求的，计</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②方案内容一般，针对性一般、合理性、可行性一般，基本满足采购人要求的，基本符合计</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分；</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③方案内容较粗略，针对性、合理性、可行性较差的，欠符合计</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分的对应分值进行评分。</w:t>
            </w:r>
          </w:p>
          <w:p>
            <w:pPr>
              <w:spacing w:line="360" w:lineRule="auto"/>
              <w:jc w:val="left"/>
              <w:rPr>
                <w:rFonts w:hint="eastAsia" w:ascii="黑体" w:hAnsi="黑体" w:eastAsia="黑体" w:cs="黑体"/>
                <w:b/>
                <w:color w:val="auto"/>
                <w:sz w:val="24"/>
                <w:szCs w:val="24"/>
                <w:highlight w:val="none"/>
                <w:lang w:val="en-US" w:eastAsia="zh-CN"/>
              </w:rPr>
            </w:pPr>
            <w:r>
              <w:rPr>
                <w:rFonts w:hint="eastAsia" w:ascii="黑体" w:hAnsi="黑体" w:eastAsia="黑体" w:cs="黑体"/>
                <w:color w:val="auto"/>
                <w:sz w:val="24"/>
                <w:szCs w:val="24"/>
                <w:highlight w:val="none"/>
              </w:rPr>
              <w:t>注：本项“售后服务方案”评审因素汇总得分最多计</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分，未提供方案的不计分。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售后服务网点</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1分</w:t>
            </w:r>
          </w:p>
        </w:tc>
        <w:tc>
          <w:tcPr>
            <w:tcW w:w="386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投标人</w:t>
            </w:r>
            <w:r>
              <w:rPr>
                <w:rFonts w:hint="eastAsia" w:ascii="黑体" w:hAnsi="黑体" w:eastAsia="黑体" w:cs="黑体"/>
                <w:color w:val="auto"/>
                <w:sz w:val="24"/>
                <w:szCs w:val="24"/>
                <w:highlight w:val="none"/>
                <w:lang w:val="en-US" w:eastAsia="zh-CN"/>
              </w:rPr>
              <w:t>在福建省内有售后服务网点的得1分，需提供服务网点情况表、售后服务机构地址、人员名单、联系方式等佐证。</w:t>
            </w:r>
          </w:p>
        </w:tc>
      </w:tr>
    </w:tbl>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加分项（F4×A4）</w:t>
      </w:r>
    </w:p>
    <w:tbl>
      <w:tblPr>
        <w:tblStyle w:val="5"/>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7"/>
        <w:gridCol w:w="900"/>
        <w:gridCol w:w="79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w:t>
            </w:r>
          </w:p>
        </w:tc>
        <w:tc>
          <w:tcPr>
            <w:tcW w:w="45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分值</w:t>
            </w:r>
          </w:p>
        </w:tc>
        <w:tc>
          <w:tcPr>
            <w:tcW w:w="4045" w:type="pct"/>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节能、环境标志产品</w:t>
            </w:r>
          </w:p>
        </w:tc>
        <w:tc>
          <w:tcPr>
            <w:tcW w:w="45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7.20</w:t>
            </w:r>
          </w:p>
        </w:tc>
        <w:tc>
          <w:tcPr>
            <w:tcW w:w="7971" w:type="dxa"/>
            <w:vAlign w:val="top"/>
          </w:tcPr>
          <w:p>
            <w:pPr>
              <w:pStyle w:val="8"/>
              <w:jc w:val="both"/>
              <w:rPr>
                <w:rFonts w:hint="eastAsia" w:ascii="黑体" w:hAnsi="黑体" w:eastAsia="黑体" w:cs="黑体"/>
                <w:color w:val="auto"/>
                <w:sz w:val="24"/>
                <w:szCs w:val="24"/>
                <w:highlight w:val="none"/>
              </w:rPr>
            </w:pPr>
            <w:r>
              <w:rPr>
                <w:rFonts w:hint="eastAsia" w:ascii="黑体" w:hAnsi="黑体" w:eastAsia="黑体" w:cs="黑体"/>
                <w:sz w:val="24"/>
                <w:szCs w:val="24"/>
                <w:highlight w:val="none"/>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（4）中标候选人排列规则顺序如下：</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a.按照评标总得分（FA）由高到低顺序排列。</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b.评标总得分（FA）相同的，按照评标价（即价格扣除后的投标报价）由低到高顺序排列。</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c.评标总得分（FA）且评标价（即价格扣除后的投标报价）相同的并列。</w:t>
      </w: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采购包3：综合评分法</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（1）投标文件满足招标文件全部实质性要求，且按照评审因素的量化指标评审得分（即评标总得分）最高的投标人为中标候选人。</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各项评审因素的设置如下：</w:t>
      </w: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价格项（F1×A1）满分为</w:t>
      </w:r>
      <w:r>
        <w:rPr>
          <w:rFonts w:hint="eastAsia" w:ascii="黑体" w:hAnsi="黑体" w:eastAsia="黑体" w:cs="黑体"/>
          <w:b/>
          <w:bCs/>
          <w:color w:val="auto"/>
          <w:sz w:val="24"/>
          <w:szCs w:val="24"/>
          <w:highlight w:val="none"/>
          <w:lang w:val="en-US" w:eastAsia="zh-CN"/>
        </w:rPr>
        <w:t>3</w:t>
      </w:r>
      <w:r>
        <w:rPr>
          <w:rFonts w:hint="eastAsia" w:ascii="黑体" w:hAnsi="黑体" w:eastAsia="黑体" w:cs="黑体"/>
          <w:b/>
          <w:bCs/>
          <w:color w:val="auto"/>
          <w:sz w:val="24"/>
          <w:szCs w:val="24"/>
          <w:highlight w:val="none"/>
        </w:rPr>
        <w:t>0.00分</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价格扣除的规则如下：</w:t>
      </w:r>
    </w:p>
    <w:tbl>
      <w:tblPr>
        <w:tblStyle w:val="5"/>
        <w:tblW w:w="499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5"/>
        <w:gridCol w:w="1260"/>
        <w:gridCol w:w="947"/>
        <w:gridCol w:w="64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w:t>
            </w:r>
          </w:p>
        </w:tc>
        <w:tc>
          <w:tcPr>
            <w:tcW w:w="64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适用对象</w:t>
            </w:r>
          </w:p>
        </w:tc>
        <w:tc>
          <w:tcPr>
            <w:tcW w:w="4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比例</w:t>
            </w:r>
          </w:p>
        </w:tc>
        <w:tc>
          <w:tcPr>
            <w:tcW w:w="3291" w:type="pct"/>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小型、微型企业，监狱企业，残疾人福利性单位</w:t>
            </w:r>
          </w:p>
        </w:tc>
        <w:tc>
          <w:tcPr>
            <w:tcW w:w="64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投标人或者联合体均为小型、微型企业</w:t>
            </w:r>
          </w:p>
        </w:tc>
        <w:tc>
          <w:tcPr>
            <w:tcW w:w="4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15.00%</w:t>
            </w:r>
          </w:p>
        </w:tc>
        <w:tc>
          <w:tcPr>
            <w:tcW w:w="6478" w:type="dxa"/>
            <w:vAlign w:val="top"/>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sz w:val="24"/>
                <w:szCs w:val="24"/>
                <w:highlight w:val="none"/>
              </w:rPr>
              <w:t>小型、微型企业产品（中、大型企业产品不予扣除）：本项目为非专门面向中小企业采购，采购标的对应的中小企业划分标准所属行业</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lang w:val="en-US" w:eastAsia="zh-CN"/>
              </w:rPr>
              <w:t>工业</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 1、对符合财政部、工信部文件（财库〔2020〕46号）规定的小型、微型企业报价给予15%（工程项目为3%）的扣除，用扣除后的价格参加评审。应按第七章投标文件格式中规定填写并提供《中小企业声明函》（货物），声明函中“标的名称” 、“采购文件中明确的所属行业”项应根据第五章《采购标的一览表具体明细表》中规定准确填写,多品目（采购标的）的须逐条填列，“制造商为（企业名称）”项应准确填写对应的企业全称，“（中型企业、小型企业、微型企业）”项应明确填写属于中型企业、小型企业或是微型企业，否则，其提供的中小企业声明将被判定为无效声明函，不予价格扣除,由此造成的后果由投标人自行承担。 2、对符合财政部、司法部文件（财库[2014]68号）规定的监狱企业(以下简称监狱企业)参加政府采购活动视同小型、微型企业，提供货物（承接的服务）为本单位制造的，其报价享受15%的评审价格扣除优惠，须提供由省级以上监狱管理局、戒毒管理局（含新疆生产建设兵团）出具的属于监狱企业的证明文件，否则不予价格扣除。 3、对符合财政部、民政部、中国残联文件（财库[2017]141号）规定的残疾人福利性单位参加政府采购活动视同小型、微型企业，提供《残疾人福利性单位声明函》并对声明的真实性负责，其报价享受15%（工程项目为3%）的评审价格扣除优惠。对残疾人福利性单位与其他组织组成联合体参与政府采购活动的，残疾人福利性单位的协议合同金额占总合同金额30%以上的，给予联合体合同金额5%（工程项目为1%）的价格扣除。残疾人福利性单位参与货物项目的，须在投标文件中写明具体哪些货物是由本单位制造，或者由其他残疾人福利性单位制造（不包括使用非残疾人福利性单位注册商标的货物），对其进行标注并提供有分项报价表，否则不予价格扣除。残疾人福利性单位视同小型、微型企业。残疾人福利性单位属于小型、微型企业的，不重复享受政策。 注：投标人提供声明函内容不实的或提供虚假证明文件的，均属于提供虚假材料谋取中标、成交，一经发现将依照《中华人民共和国政府采购法》等国家有关规定追究相应责任。</w:t>
            </w:r>
          </w:p>
        </w:tc>
      </w:tr>
    </w:tbl>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其他：无</w:t>
      </w: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技术项（F2×A2）满分为</w:t>
      </w:r>
      <w:r>
        <w:rPr>
          <w:rFonts w:hint="eastAsia" w:ascii="黑体" w:hAnsi="黑体" w:eastAsia="黑体" w:cs="黑体"/>
          <w:b/>
          <w:bCs/>
          <w:color w:val="auto"/>
          <w:sz w:val="24"/>
          <w:szCs w:val="24"/>
          <w:highlight w:val="none"/>
          <w:lang w:val="en-US" w:eastAsia="zh-CN"/>
        </w:rPr>
        <w:t>55</w:t>
      </w:r>
      <w:r>
        <w:rPr>
          <w:rFonts w:hint="eastAsia" w:ascii="黑体" w:hAnsi="黑体" w:eastAsia="黑体" w:cs="黑体"/>
          <w:b/>
          <w:bCs/>
          <w:color w:val="auto"/>
          <w:sz w:val="24"/>
          <w:szCs w:val="24"/>
          <w:highlight w:val="none"/>
        </w:rPr>
        <w:t>.00分</w:t>
      </w:r>
    </w:p>
    <w:tbl>
      <w:tblPr>
        <w:tblStyle w:val="5"/>
        <w:tblW w:w="4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931"/>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3" w:type="dxa"/>
            <w:tcBorders>
              <w:top w:val="single" w:color="auto" w:sz="4" w:space="0"/>
              <w:left w:val="single" w:color="auto" w:sz="4" w:space="0"/>
              <w:right w:val="single" w:color="auto" w:sz="4" w:space="0"/>
            </w:tcBorders>
            <w:noWrap w:val="0"/>
            <w:vAlign w:val="center"/>
          </w:tcPr>
          <w:p>
            <w:pPr>
              <w:pStyle w:val="8"/>
              <w:spacing w:line="360" w:lineRule="auto"/>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项目</w:t>
            </w:r>
          </w:p>
        </w:tc>
        <w:tc>
          <w:tcPr>
            <w:tcW w:w="931" w:type="dxa"/>
            <w:tcBorders>
              <w:top w:val="single" w:color="auto" w:sz="4" w:space="0"/>
              <w:left w:val="single" w:color="auto" w:sz="4" w:space="0"/>
              <w:right w:val="single" w:color="auto" w:sz="4" w:space="0"/>
            </w:tcBorders>
            <w:noWrap w:val="0"/>
            <w:vAlign w:val="center"/>
          </w:tcPr>
          <w:p>
            <w:pPr>
              <w:pStyle w:val="8"/>
              <w:spacing w:line="360" w:lineRule="auto"/>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值</w:t>
            </w:r>
          </w:p>
        </w:tc>
        <w:tc>
          <w:tcPr>
            <w:tcW w:w="7423" w:type="dxa"/>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172" w:rightChars="-82"/>
              <w:jc w:val="center"/>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技术参数要求</w:t>
            </w:r>
          </w:p>
        </w:tc>
        <w:tc>
          <w:tcPr>
            <w:tcW w:w="93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46</w:t>
            </w:r>
            <w:r>
              <w:rPr>
                <w:rFonts w:hint="eastAsia" w:ascii="黑体" w:hAnsi="黑体" w:eastAsia="黑体" w:cs="黑体"/>
                <w:color w:val="auto"/>
                <w:sz w:val="24"/>
                <w:szCs w:val="24"/>
                <w:highlight w:val="none"/>
              </w:rPr>
              <w:t>分</w:t>
            </w:r>
          </w:p>
        </w:tc>
        <w:tc>
          <w:tcPr>
            <w:tcW w:w="7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1.投标文件中提供《货物说明一览表》、《技术响应/偏离表》、产品技术规格书(或使用说明书)：缺少任意一份资料的，本项计 0分；</w:t>
            </w:r>
          </w:p>
          <w:p>
            <w:pPr>
              <w:spacing w:line="360" w:lineRule="auto"/>
              <w:jc w:val="left"/>
              <w:rPr>
                <w:rFonts w:hint="eastAsia" w:ascii="黑体" w:hAnsi="黑体" w:eastAsia="黑体" w:cs="黑体"/>
                <w:b w:val="0"/>
                <w:bCs w:val="0"/>
                <w:color w:val="auto"/>
                <w:sz w:val="24"/>
                <w:szCs w:val="24"/>
                <w:highlight w:val="none"/>
                <w:u w:val="none"/>
              </w:rPr>
            </w:pPr>
            <w:r>
              <w:rPr>
                <w:rFonts w:hint="eastAsia" w:ascii="黑体" w:hAnsi="黑体" w:eastAsia="黑体" w:cs="黑体"/>
                <w:b w:val="0"/>
                <w:bCs w:val="0"/>
                <w:color w:val="auto"/>
                <w:sz w:val="24"/>
                <w:szCs w:val="24"/>
                <w:highlight w:val="none"/>
                <w:u w:val="none"/>
                <w:lang w:val="en-US" w:eastAsia="zh-CN"/>
              </w:rPr>
              <w:t>2.</w:t>
            </w:r>
            <w:r>
              <w:rPr>
                <w:rFonts w:hint="eastAsia" w:ascii="黑体" w:hAnsi="黑体" w:eastAsia="黑体" w:cs="黑体"/>
                <w:b w:val="0"/>
                <w:bCs w:val="0"/>
                <w:color w:val="auto"/>
                <w:sz w:val="24"/>
                <w:szCs w:val="24"/>
                <w:highlight w:val="none"/>
                <w:u w:val="none"/>
              </w:rPr>
              <w:t>技术要求中标注“</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rPr>
              <w:t>”符号的技术参数有不响应或负偏离的视为未实质性响应招标文件要求，投标无效；标注“▲”符号的技术参数</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lang w:val="en-US" w:eastAsia="zh-CN"/>
              </w:rPr>
              <w:t>共21项）</w:t>
            </w:r>
            <w:r>
              <w:rPr>
                <w:rFonts w:hint="eastAsia" w:ascii="黑体" w:hAnsi="黑体" w:eastAsia="黑体" w:cs="黑体"/>
                <w:b w:val="0"/>
                <w:bCs w:val="0"/>
                <w:color w:val="auto"/>
                <w:sz w:val="24"/>
                <w:szCs w:val="24"/>
                <w:highlight w:val="none"/>
                <w:u w:val="none"/>
              </w:rPr>
              <w:t>每负偏离一项扣</w:t>
            </w:r>
            <w:r>
              <w:rPr>
                <w:rFonts w:hint="eastAsia" w:ascii="黑体" w:hAnsi="黑体" w:eastAsia="黑体" w:cs="黑体"/>
                <w:b w:val="0"/>
                <w:bCs w:val="0"/>
                <w:color w:val="auto"/>
                <w:sz w:val="24"/>
                <w:szCs w:val="24"/>
                <w:highlight w:val="none"/>
                <w:u w:val="none"/>
                <w:lang w:val="en-US" w:eastAsia="zh-CN"/>
              </w:rPr>
              <w:t>1.3</w:t>
            </w:r>
            <w:r>
              <w:rPr>
                <w:rFonts w:hint="eastAsia" w:ascii="黑体" w:hAnsi="黑体" w:eastAsia="黑体" w:cs="黑体"/>
                <w:b w:val="0"/>
                <w:bCs w:val="0"/>
                <w:color w:val="auto"/>
                <w:sz w:val="24"/>
                <w:szCs w:val="24"/>
                <w:highlight w:val="none"/>
                <w:u w:val="none"/>
              </w:rPr>
              <w:t>分</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rPr>
              <w:t>一般技术指标（未标注“</w:t>
            </w:r>
            <w:r>
              <w:rPr>
                <w:rFonts w:hint="eastAsia" w:ascii="黑体" w:hAnsi="黑体" w:eastAsia="黑体" w:cs="黑体"/>
                <w:b w:val="0"/>
                <w:bCs w:val="0"/>
                <w:color w:val="auto"/>
                <w:sz w:val="24"/>
                <w:szCs w:val="24"/>
                <w:highlight w:val="none"/>
                <w:u w:val="none"/>
                <w:lang w:eastAsia="zh-CN"/>
              </w:rPr>
              <w:t>★或</w:t>
            </w:r>
            <w:r>
              <w:rPr>
                <w:rFonts w:hint="eastAsia" w:ascii="黑体" w:hAnsi="黑体" w:eastAsia="黑体" w:cs="黑体"/>
                <w:b w:val="0"/>
                <w:bCs w:val="0"/>
                <w:color w:val="auto"/>
                <w:sz w:val="24"/>
                <w:szCs w:val="24"/>
                <w:highlight w:val="none"/>
                <w:u w:val="none"/>
              </w:rPr>
              <w:t>▲”号</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lang w:val="en-US" w:eastAsia="zh-CN"/>
              </w:rPr>
              <w:t>共计40项</w:t>
            </w:r>
            <w:r>
              <w:rPr>
                <w:rFonts w:hint="eastAsia" w:ascii="黑体" w:hAnsi="黑体" w:eastAsia="黑体" w:cs="黑体"/>
                <w:b w:val="0"/>
                <w:bCs w:val="0"/>
                <w:color w:val="auto"/>
                <w:sz w:val="24"/>
                <w:szCs w:val="24"/>
                <w:highlight w:val="none"/>
                <w:u w:val="none"/>
              </w:rPr>
              <w:t>）每负偏离一项扣</w:t>
            </w:r>
            <w:r>
              <w:rPr>
                <w:rFonts w:hint="eastAsia" w:ascii="黑体" w:hAnsi="黑体" w:eastAsia="黑体" w:cs="黑体"/>
                <w:b w:val="0"/>
                <w:bCs w:val="0"/>
                <w:color w:val="auto"/>
                <w:sz w:val="24"/>
                <w:szCs w:val="24"/>
                <w:highlight w:val="none"/>
                <w:u w:val="none"/>
                <w:lang w:val="en-US" w:eastAsia="zh-CN"/>
              </w:rPr>
              <w:t>0.5</w:t>
            </w:r>
            <w:r>
              <w:rPr>
                <w:rFonts w:hint="eastAsia" w:ascii="黑体" w:hAnsi="黑体" w:eastAsia="黑体" w:cs="黑体"/>
                <w:b w:val="0"/>
                <w:bCs w:val="0"/>
                <w:color w:val="auto"/>
                <w:sz w:val="24"/>
                <w:szCs w:val="24"/>
                <w:highlight w:val="none"/>
                <w:u w:val="none"/>
              </w:rPr>
              <w:t>分</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rPr>
              <w:t>扣完为止。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备</w:t>
            </w:r>
            <w:r>
              <w:rPr>
                <w:rFonts w:hint="eastAsia" w:ascii="黑体" w:hAnsi="黑体" w:eastAsia="黑体" w:cs="黑体"/>
                <w:b/>
                <w:bCs/>
                <w:color w:val="auto"/>
                <w:sz w:val="24"/>
                <w:szCs w:val="24"/>
                <w:highlight w:val="none"/>
                <w:u w:val="none"/>
              </w:rPr>
              <w:t>注：</w:t>
            </w:r>
            <w:r>
              <w:rPr>
                <w:rFonts w:hint="eastAsia" w:ascii="黑体" w:hAnsi="黑体" w:eastAsia="黑体" w:cs="黑体"/>
                <w:b/>
                <w:bCs/>
                <w:color w:val="auto"/>
                <w:sz w:val="24"/>
                <w:szCs w:val="24"/>
                <w:highlight w:val="none"/>
                <w:u w:val="none"/>
                <w:lang w:val="en-US" w:eastAsia="zh-CN"/>
              </w:rPr>
              <w:t>技术参数中有明确佐证资料的，按技术参数要求提供佐证资料，未做要求的按如下方式提供佐证资料：1.</w:t>
            </w:r>
            <w:r>
              <w:rPr>
                <w:rFonts w:hint="eastAsia" w:ascii="黑体" w:hAnsi="黑体" w:eastAsia="黑体" w:cs="黑体"/>
                <w:b w:val="0"/>
                <w:bCs w:val="0"/>
                <w:color w:val="auto"/>
                <w:sz w:val="24"/>
                <w:szCs w:val="24"/>
                <w:highlight w:val="none"/>
                <w:u w:val="none"/>
              </w:rPr>
              <w:t>标注“</w:t>
            </w:r>
            <w:r>
              <w:rPr>
                <w:rFonts w:hint="eastAsia" w:ascii="黑体" w:hAnsi="黑体" w:eastAsia="黑体" w:cs="黑体"/>
                <w:b w:val="0"/>
                <w:bCs w:val="0"/>
                <w:color w:val="auto"/>
                <w:sz w:val="24"/>
                <w:szCs w:val="24"/>
                <w:highlight w:val="none"/>
                <w:u w:val="none"/>
                <w:lang w:eastAsia="zh-CN"/>
              </w:rPr>
              <w:t>★或</w:t>
            </w:r>
            <w:r>
              <w:rPr>
                <w:rFonts w:hint="eastAsia" w:ascii="黑体" w:hAnsi="黑体" w:eastAsia="黑体" w:cs="黑体"/>
                <w:b w:val="0"/>
                <w:bCs w:val="0"/>
                <w:color w:val="auto"/>
                <w:sz w:val="24"/>
                <w:szCs w:val="24"/>
                <w:highlight w:val="none"/>
                <w:u w:val="none"/>
              </w:rPr>
              <w:t>▲”号</w:t>
            </w:r>
            <w:r>
              <w:rPr>
                <w:rFonts w:hint="eastAsia" w:ascii="黑体" w:hAnsi="黑体" w:eastAsia="黑体" w:cs="黑体"/>
                <w:b w:val="0"/>
                <w:bCs w:val="0"/>
                <w:color w:val="auto"/>
                <w:sz w:val="24"/>
                <w:szCs w:val="24"/>
                <w:highlight w:val="none"/>
                <w:u w:val="none"/>
                <w:lang w:val="en-US" w:eastAsia="zh-CN"/>
              </w:rPr>
              <w:t>的技术参数以供应商</w:t>
            </w:r>
            <w:r>
              <w:rPr>
                <w:rFonts w:hint="eastAsia" w:ascii="黑体" w:hAnsi="黑体" w:eastAsia="黑体" w:cs="黑体"/>
                <w:b w:val="0"/>
                <w:bCs w:val="0"/>
                <w:strike w:val="0"/>
                <w:dstrike w:val="0"/>
                <w:color w:val="auto"/>
                <w:sz w:val="24"/>
                <w:szCs w:val="24"/>
                <w:highlight w:val="none"/>
                <w:u w:val="none"/>
                <w:lang w:val="en-US" w:eastAsia="zh-CN"/>
              </w:rPr>
              <w:t>提供的</w:t>
            </w:r>
            <w:r>
              <w:rPr>
                <w:rFonts w:hint="eastAsia" w:ascii="黑体" w:hAnsi="黑体" w:eastAsia="黑体" w:cs="黑体"/>
                <w:b w:val="0"/>
                <w:bCs w:val="0"/>
                <w:strike w:val="0"/>
                <w:dstrike w:val="0"/>
                <w:color w:val="auto"/>
                <w:sz w:val="24"/>
                <w:szCs w:val="24"/>
                <w:highlight w:val="none"/>
                <w:u w:val="none"/>
              </w:rPr>
              <w:t>检测报告</w:t>
            </w:r>
            <w:r>
              <w:rPr>
                <w:rFonts w:hint="eastAsia" w:ascii="黑体" w:hAnsi="黑体" w:eastAsia="黑体" w:cs="黑体"/>
                <w:b w:val="0"/>
                <w:bCs w:val="0"/>
                <w:strike w:val="0"/>
                <w:dstrike w:val="0"/>
                <w:color w:val="auto"/>
                <w:sz w:val="24"/>
                <w:szCs w:val="24"/>
                <w:highlight w:val="none"/>
                <w:u w:val="none"/>
                <w:lang w:val="en-US" w:eastAsia="zh-CN"/>
              </w:rPr>
              <w:t>佐证，</w:t>
            </w:r>
            <w:r>
              <w:rPr>
                <w:rFonts w:hint="eastAsia" w:ascii="黑体" w:hAnsi="黑体" w:eastAsia="黑体" w:cs="黑体"/>
                <w:b w:val="0"/>
                <w:bCs w:val="0"/>
                <w:strike w:val="0"/>
                <w:dstrike w:val="0"/>
                <w:color w:val="auto"/>
                <w:sz w:val="24"/>
                <w:szCs w:val="24"/>
                <w:highlight w:val="none"/>
                <w:u w:val="none"/>
              </w:rPr>
              <w:t>所提供检测报告必须是中国国家认证认可监督管理委员会颁发的具有CMA或CNAS资格的检测机构出具的检测报告</w:t>
            </w:r>
            <w:r>
              <w:rPr>
                <w:rFonts w:hint="eastAsia" w:ascii="黑体" w:hAnsi="黑体" w:eastAsia="黑体" w:cs="黑体"/>
                <w:b w:val="0"/>
                <w:bCs w:val="0"/>
                <w:strike w:val="0"/>
                <w:dstrike w:val="0"/>
                <w:color w:val="auto"/>
                <w:sz w:val="24"/>
                <w:szCs w:val="24"/>
                <w:highlight w:val="none"/>
                <w:u w:val="none"/>
                <w:lang w:val="en-US" w:eastAsia="zh-CN"/>
              </w:rPr>
              <w:t>；2.</w:t>
            </w:r>
            <w:r>
              <w:rPr>
                <w:rFonts w:hint="eastAsia" w:ascii="黑体" w:hAnsi="黑体" w:eastAsia="黑体" w:cs="黑体"/>
                <w:b w:val="0"/>
                <w:bCs w:val="0"/>
                <w:color w:val="auto"/>
                <w:sz w:val="24"/>
                <w:szCs w:val="24"/>
                <w:highlight w:val="none"/>
                <w:u w:val="none"/>
              </w:rPr>
              <w:t>一般技术指标以投标人提供的《技术偏离表》为准，若《技术偏离表》与投标文件中提供的检验报告或产品技术规格书等证明材料不一致的，以检验报告或产品技术规格书等证明材料为准</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lang w:val="en-US" w:eastAsia="zh-CN"/>
              </w:rPr>
              <w:t>3.</w:t>
            </w:r>
            <w:r>
              <w:rPr>
                <w:rFonts w:hint="eastAsia" w:ascii="黑体" w:hAnsi="黑体" w:eastAsia="黑体" w:cs="黑体"/>
                <w:b w:val="0"/>
                <w:bCs w:val="0"/>
                <w:color w:val="auto"/>
                <w:sz w:val="24"/>
                <w:szCs w:val="24"/>
                <w:highlight w:val="none"/>
                <w:u w:val="none"/>
              </w:rPr>
              <w:t>技术响应情况须完整填列在《技术和服务要求响应表》中,未填列或漏项的，评标委员会将按照不利于投标人的判定进行评审（即认定为负偏离）</w:t>
            </w:r>
            <w:r>
              <w:rPr>
                <w:rFonts w:hint="eastAsia" w:ascii="黑体" w:hAnsi="黑体" w:eastAsia="黑体" w:cs="黑体"/>
                <w:b w:val="0"/>
                <w:bCs w:val="0"/>
                <w:color w:val="auto"/>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 w:eastAsia="zh-CN"/>
              </w:rPr>
              <w:t>4G</w:t>
            </w:r>
            <w:r>
              <w:rPr>
                <w:rFonts w:hint="eastAsia" w:ascii="黑体" w:hAnsi="黑体" w:eastAsia="黑体" w:cs="黑体"/>
                <w:color w:val="auto"/>
                <w:sz w:val="24"/>
                <w:szCs w:val="24"/>
                <w:highlight w:val="none"/>
                <w:lang w:eastAsia="zh-CN"/>
              </w:rPr>
              <w:t>物联网卡</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lang w:val="en" w:eastAsia="zh-CN"/>
              </w:rPr>
              <w:t>分</w:t>
            </w:r>
          </w:p>
        </w:tc>
        <w:tc>
          <w:tcPr>
            <w:tcW w:w="7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strike w:val="0"/>
                <w:dstrike w:val="0"/>
                <w:color w:val="auto"/>
                <w:kern w:val="0"/>
                <w:sz w:val="24"/>
                <w:szCs w:val="24"/>
                <w:highlight w:val="none"/>
                <w:lang w:val="en-US" w:eastAsia="zh-CN"/>
              </w:rPr>
            </w:pPr>
            <w:r>
              <w:rPr>
                <w:rFonts w:hint="eastAsia" w:ascii="黑体" w:hAnsi="黑体" w:eastAsia="黑体" w:cs="黑体"/>
                <w:strike w:val="0"/>
                <w:dstrike w:val="0"/>
                <w:color w:val="auto"/>
                <w:kern w:val="0"/>
                <w:sz w:val="24"/>
                <w:szCs w:val="24"/>
                <w:highlight w:val="none"/>
                <w:lang w:val="en-US" w:eastAsia="zh-CN"/>
              </w:rPr>
              <w:t>1.音视频年流量包40G/月及以上得1.5分，30G/月至39G/月得1分，20G/月-29G/月至得0.5分，其余不得分。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strike w:val="0"/>
                <w:dstrike w:val="0"/>
                <w:color w:val="auto"/>
                <w:kern w:val="0"/>
                <w:sz w:val="24"/>
                <w:szCs w:val="24"/>
                <w:highlight w:val="none"/>
                <w:lang w:val="en-US" w:eastAsia="zh-CN"/>
              </w:rPr>
              <w:t>2</w:t>
            </w:r>
            <w:r>
              <w:rPr>
                <w:rFonts w:hint="eastAsia" w:ascii="黑体" w:hAnsi="黑体" w:eastAsia="黑体" w:cs="黑体"/>
                <w:strike w:val="0"/>
                <w:dstrike w:val="0"/>
                <w:color w:val="auto"/>
                <w:sz w:val="24"/>
                <w:szCs w:val="24"/>
                <w:highlight w:val="none"/>
                <w:lang w:val="en-US" w:eastAsia="zh-CN"/>
              </w:rPr>
              <w:t>.</w:t>
            </w:r>
            <w:r>
              <w:rPr>
                <w:rFonts w:hint="eastAsia" w:ascii="黑体" w:hAnsi="黑体" w:eastAsia="黑体" w:cs="黑体"/>
                <w:strike w:val="0"/>
                <w:dstrike w:val="0"/>
                <w:color w:val="auto"/>
                <w:kern w:val="0"/>
                <w:sz w:val="24"/>
                <w:szCs w:val="24"/>
                <w:highlight w:val="none"/>
                <w:lang w:val="en-US" w:eastAsia="zh-CN"/>
              </w:rPr>
              <w:t>音视频流量服务5年及以上得1.5分，4年得1分，3年得0.5分，其余不得分。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服务方案/技术要求整体评价</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20" w:firstLineChars="50"/>
              <w:jc w:val="center"/>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tc>
        <w:tc>
          <w:tcPr>
            <w:tcW w:w="7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货物运输配送及安装调试方案：评标委员会根据各供应商编制的项目技术方案的周密性、合理性、针对性等内容参照以下评审要素逐一进行综合评价，将以下每条评审要素划分为优、良、差三个档次，按照档次进行酌情打分（如缺项该分项得0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评审要素如下：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1）方案内容全面详实，切合实际，具有很强的针对性，整体思路科学合理，可操作性较强的为优，得</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2）方案内容有些许瑕疵但基本切合实际，针对性一般，整体思路一般，可操作性一般的为良，得2分；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3）方案内容案简单空洞，无针对性，整体思路较差，不具备一定的可操作的为差，得</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项目计划（进度）、质量控制、安全保障方案</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20" w:firstLineChars="50"/>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tc>
        <w:tc>
          <w:tcPr>
            <w:tcW w:w="7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项目计划（进度）、质量控制、安全保障方案</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评标委员会根据各供应商编制的项目技术方案的周密性、合理性、针对性等内容参照以下评审要素逐一进行综合评价，将以下每条评审要素划分为优、良、差三个档次，按照档次进行酌情打分（如缺项该分项得0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1）方案内容全面详实，切合实际，具有很强的针对性，整体思路科学合理，可操作性较强的为优，得</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2）方案内容有些许瑕疵但基本切合实际，针对性一般，整体思路一般，可操作性一般的为良，得2分；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3）方案内容案简单空洞，无针对性，整体思路较差，不具备一定的可操作的为差，得</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w:t>
            </w:r>
          </w:p>
        </w:tc>
      </w:tr>
    </w:tbl>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商务项（F3×A3）满分为</w:t>
      </w:r>
      <w:r>
        <w:rPr>
          <w:rFonts w:hint="eastAsia" w:ascii="黑体" w:hAnsi="黑体" w:eastAsia="黑体" w:cs="黑体"/>
          <w:b/>
          <w:bCs/>
          <w:color w:val="auto"/>
          <w:sz w:val="24"/>
          <w:szCs w:val="24"/>
          <w:highlight w:val="none"/>
          <w:lang w:val="en-US" w:eastAsia="zh-CN"/>
        </w:rPr>
        <w:t>15</w:t>
      </w:r>
      <w:r>
        <w:rPr>
          <w:rFonts w:hint="eastAsia" w:ascii="黑体" w:hAnsi="黑体" w:eastAsia="黑体" w:cs="黑体"/>
          <w:b/>
          <w:bCs/>
          <w:color w:val="auto"/>
          <w:sz w:val="24"/>
          <w:szCs w:val="24"/>
          <w:highlight w:val="none"/>
        </w:rPr>
        <w:t>.00分</w:t>
      </w:r>
    </w:p>
    <w:tbl>
      <w:tblPr>
        <w:tblStyle w:val="5"/>
        <w:tblW w:w="48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961"/>
        <w:gridCol w:w="7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w:t>
            </w:r>
          </w:p>
        </w:tc>
        <w:tc>
          <w:tcPr>
            <w:tcW w:w="96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值</w:t>
            </w:r>
          </w:p>
        </w:tc>
        <w:tc>
          <w:tcPr>
            <w:tcW w:w="7409"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b w:val="0"/>
                <w:bCs/>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综合实力</w:t>
            </w:r>
          </w:p>
        </w:tc>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w:t>
            </w:r>
          </w:p>
        </w:tc>
        <w:tc>
          <w:tcPr>
            <w:tcW w:w="7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投标人具有质量管理体系认证证书、职业健康安全管理体系认证证书、环境管理体系认证证书，</w:t>
            </w:r>
            <w:r>
              <w:rPr>
                <w:rFonts w:hint="eastAsia" w:ascii="黑体" w:hAnsi="黑体" w:eastAsia="黑体" w:cs="黑体"/>
                <w:color w:val="auto"/>
                <w:sz w:val="24"/>
                <w:szCs w:val="24"/>
                <w:highlight w:val="none"/>
                <w:lang w:val="en-US" w:eastAsia="zh-CN"/>
              </w:rPr>
              <w:t>每具备一项得1分，满分3分</w:t>
            </w:r>
            <w:r>
              <w:rPr>
                <w:rFonts w:hint="eastAsia" w:ascii="黑体" w:hAnsi="黑体" w:eastAsia="黑体" w:cs="黑体"/>
                <w:color w:val="auto"/>
                <w:sz w:val="24"/>
                <w:szCs w:val="24"/>
                <w:highlight w:val="none"/>
              </w:rPr>
              <w:t>。</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黑体" w:hAnsi="黑体" w:eastAsia="黑体" w:cs="黑体"/>
                <w:b w:val="0"/>
                <w:bCs/>
                <w:color w:val="auto"/>
                <w:sz w:val="24"/>
                <w:szCs w:val="24"/>
                <w:highlight w:val="none"/>
              </w:rPr>
            </w:pPr>
            <w:r>
              <w:rPr>
                <w:rFonts w:hint="eastAsia" w:ascii="黑体" w:hAnsi="黑体" w:eastAsia="黑体" w:cs="黑体"/>
                <w:color w:val="auto"/>
                <w:sz w:val="24"/>
                <w:szCs w:val="24"/>
                <w:highlight w:val="none"/>
              </w:rPr>
              <w:t>评审依据：提供国家认证认可监督管理委员网站截图（https://www.cnca.gov.cn/）及有效期内的证书扫描件并加盖投标人公章。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kern w:val="2"/>
                <w:sz w:val="24"/>
                <w:szCs w:val="24"/>
                <w:highlight w:val="none"/>
                <w:lang w:val="en-US" w:eastAsia="zh-CN" w:bidi="ar-SA"/>
              </w:rPr>
              <w:t>类似业绩</w:t>
            </w:r>
          </w:p>
        </w:tc>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kern w:val="2"/>
                <w:sz w:val="24"/>
                <w:szCs w:val="24"/>
                <w:highlight w:val="none"/>
                <w:lang w:val="en-US" w:eastAsia="zh-CN" w:bidi="ar-SA"/>
              </w:rPr>
              <w:t>3分</w:t>
            </w:r>
          </w:p>
        </w:tc>
        <w:tc>
          <w:tcPr>
            <w:tcW w:w="7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 2020 年以来有相关类似项目业绩，每提供 1 个</w:t>
            </w:r>
            <w:r>
              <w:rPr>
                <w:rFonts w:hint="eastAsia" w:ascii="黑体" w:hAnsi="黑体" w:eastAsia="黑体" w:cs="黑体"/>
                <w:color w:val="auto"/>
                <w:sz w:val="24"/>
                <w:szCs w:val="24"/>
                <w:highlight w:val="none"/>
                <w:lang w:val="en-US" w:eastAsia="zh-CN"/>
              </w:rPr>
              <w:t>得</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分，最多</w:t>
            </w:r>
            <w:r>
              <w:rPr>
                <w:rFonts w:hint="eastAsia" w:ascii="黑体" w:hAnsi="黑体" w:eastAsia="黑体" w:cs="黑体"/>
                <w:color w:val="auto"/>
                <w:sz w:val="24"/>
                <w:szCs w:val="24"/>
                <w:highlight w:val="none"/>
                <w:lang w:val="en-US" w:eastAsia="zh-CN"/>
              </w:rPr>
              <w:t>得3</w:t>
            </w:r>
            <w:r>
              <w:rPr>
                <w:rFonts w:hint="eastAsia" w:ascii="黑体" w:hAnsi="黑体" w:eastAsia="黑体" w:cs="黑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b w:val="0"/>
                <w:bCs/>
                <w:color w:val="auto"/>
                <w:sz w:val="24"/>
                <w:szCs w:val="24"/>
                <w:highlight w:val="none"/>
              </w:rPr>
            </w:pPr>
            <w:r>
              <w:rPr>
                <w:rFonts w:hint="eastAsia" w:ascii="黑体" w:hAnsi="黑体" w:eastAsia="黑体" w:cs="黑体"/>
                <w:b/>
                <w:color w:val="auto"/>
                <w:sz w:val="24"/>
                <w:szCs w:val="24"/>
                <w:highlight w:val="none"/>
                <w:lang w:val="en-US" w:eastAsia="zh-CN"/>
              </w:rPr>
              <w:t>投标人</w:t>
            </w:r>
            <w:r>
              <w:rPr>
                <w:rFonts w:hint="eastAsia" w:ascii="黑体" w:hAnsi="黑体" w:eastAsia="黑体" w:cs="黑体"/>
                <w:b/>
                <w:color w:val="auto"/>
                <w:sz w:val="24"/>
                <w:szCs w:val="24"/>
                <w:highlight w:val="none"/>
              </w:rPr>
              <w:t>需提供该业绩项目以下资料有效复印件：①中标（成交）公告（提供相关网站中标（成交）公告的下载网页及其网址）；②中标（成交）通知书复印件； ③采购合同文本复印件；④能够证明该业绩项目已经采购人验收合格的相关证明文件复印件；备注：上述4项缺一不可，</w:t>
            </w:r>
            <w:r>
              <w:rPr>
                <w:rFonts w:hint="eastAsia" w:ascii="黑体" w:hAnsi="黑体" w:eastAsia="黑体" w:cs="黑体"/>
                <w:b/>
                <w:color w:val="auto"/>
                <w:sz w:val="24"/>
                <w:szCs w:val="24"/>
                <w:highlight w:val="none"/>
                <w:lang w:val="en-US" w:eastAsia="zh-CN"/>
              </w:rPr>
              <w:t>投标人</w:t>
            </w:r>
            <w:r>
              <w:rPr>
                <w:rFonts w:hint="eastAsia" w:ascii="黑体" w:hAnsi="黑体" w:eastAsia="黑体" w:cs="黑体"/>
                <w:b/>
                <w:color w:val="auto"/>
                <w:sz w:val="24"/>
                <w:szCs w:val="24"/>
                <w:highlight w:val="none"/>
              </w:rPr>
              <w:t>如未按照以上要求提供该项目业绩完整资料的，评标委员会对该项业绩将不予采信。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售后服务</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方案</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3分</w:t>
            </w:r>
          </w:p>
        </w:tc>
        <w:tc>
          <w:tcPr>
            <w:tcW w:w="7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根据投标人针对本项目提出的售后服务方案包含但不限于售后服务承诺、产品售后质量保障措施、售后服务管理体系、售后服务响应和问题解决时间等方面内容，按以下量化指标和对应分值进行评审计分：</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1、有完善的售后服务体系，2、有专业服务团队，3、具体的响应时间，4、质量保障方案，5、故障出现解决方案。</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对照上列 5 项量化指标，每项按：</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①方案内容详细，针对性强、合理性高、可行性高，能完全满足并优于采购人要求的，计</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②方案内容一般，针对性一般、合理性、可行性一般，基本满足采购人要求的，基本符合计</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分；</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③方案内容较粗略，针对性、合理性、可行性较差的，欠符合计</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分的对应分值进行评分。</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黑体" w:hAnsi="黑体" w:eastAsia="黑体" w:cs="黑体"/>
                <w:b w:val="0"/>
                <w:bCs/>
                <w:color w:val="auto"/>
                <w:sz w:val="24"/>
                <w:szCs w:val="24"/>
                <w:highlight w:val="none"/>
              </w:rPr>
            </w:pPr>
            <w:r>
              <w:rPr>
                <w:rFonts w:hint="eastAsia" w:ascii="黑体" w:hAnsi="黑体" w:eastAsia="黑体" w:cs="黑体"/>
                <w:color w:val="auto"/>
                <w:sz w:val="24"/>
                <w:szCs w:val="24"/>
                <w:highlight w:val="none"/>
              </w:rPr>
              <w:t>注：本项“售后服务方案”评审因素汇总得分最多计</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分，未提供方案的不计分。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w:t>
            </w:r>
            <w:r>
              <w:rPr>
                <w:rFonts w:hint="eastAsia" w:ascii="黑体" w:hAnsi="黑体" w:eastAsia="黑体" w:cs="黑体"/>
                <w:color w:val="auto"/>
                <w:sz w:val="24"/>
                <w:szCs w:val="24"/>
                <w:highlight w:val="none"/>
                <w:lang w:val="en-US" w:eastAsia="zh-CN"/>
              </w:rPr>
              <w:t>综合</w:t>
            </w:r>
            <w:r>
              <w:rPr>
                <w:rFonts w:hint="eastAsia" w:ascii="黑体" w:hAnsi="黑体" w:eastAsia="黑体" w:cs="黑体"/>
                <w:color w:val="auto"/>
                <w:sz w:val="24"/>
                <w:szCs w:val="24"/>
                <w:highlight w:val="none"/>
              </w:rPr>
              <w:t>实力</w:t>
            </w:r>
            <w:r>
              <w:rPr>
                <w:rFonts w:hint="eastAsia" w:ascii="黑体" w:hAnsi="黑体" w:eastAsia="黑体" w:cs="黑体"/>
                <w:color w:val="auto"/>
                <w:sz w:val="24"/>
                <w:szCs w:val="24"/>
                <w:highlight w:val="none"/>
                <w:lang w:val="en-US" w:eastAsia="zh-CN"/>
              </w:rPr>
              <w:t>1</w:t>
            </w:r>
          </w:p>
        </w:tc>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1分</w:t>
            </w:r>
          </w:p>
        </w:tc>
        <w:tc>
          <w:tcPr>
            <w:tcW w:w="7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1、投标人具有信息系统建设和服务能力二级及以上等级证书且在有效期内的，或</w:t>
            </w:r>
            <w:r>
              <w:rPr>
                <w:rFonts w:hint="eastAsia" w:ascii="黑体" w:hAnsi="黑体" w:eastAsia="黑体" w:cs="黑体"/>
                <w:color w:val="auto"/>
                <w:sz w:val="24"/>
                <w:szCs w:val="24"/>
                <w:highlight w:val="none"/>
                <w:lang w:val="en-US" w:eastAsia="zh-CN"/>
              </w:rPr>
              <w:t>所投设备</w:t>
            </w:r>
            <w:r>
              <w:rPr>
                <w:rFonts w:hint="eastAsia" w:ascii="黑体" w:hAnsi="黑体" w:eastAsia="黑体" w:cs="黑体"/>
                <w:color w:val="auto"/>
                <w:sz w:val="24"/>
                <w:szCs w:val="24"/>
                <w:highlight w:val="none"/>
              </w:rPr>
              <w:t>生产厂家具有信息系统建设和服务能力二级及以上等级证书且在有效期内的</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w:t>
            </w:r>
            <w:r>
              <w:rPr>
                <w:rFonts w:hint="eastAsia" w:ascii="黑体" w:hAnsi="黑体" w:eastAsia="黑体" w:cs="黑体"/>
                <w:color w:val="auto"/>
                <w:sz w:val="24"/>
                <w:szCs w:val="24"/>
                <w:highlight w:val="none"/>
                <w:lang w:val="en-US" w:eastAsia="zh-CN"/>
              </w:rPr>
              <w:t>综合</w:t>
            </w:r>
            <w:r>
              <w:rPr>
                <w:rFonts w:hint="eastAsia" w:ascii="黑体" w:hAnsi="黑体" w:eastAsia="黑体" w:cs="黑体"/>
                <w:color w:val="auto"/>
                <w:sz w:val="24"/>
                <w:szCs w:val="24"/>
                <w:highlight w:val="none"/>
              </w:rPr>
              <w:t>实力</w:t>
            </w:r>
            <w:r>
              <w:rPr>
                <w:rFonts w:hint="eastAsia" w:ascii="黑体" w:hAnsi="黑体" w:eastAsia="黑体" w:cs="黑体"/>
                <w:color w:val="auto"/>
                <w:sz w:val="24"/>
                <w:szCs w:val="24"/>
                <w:highlight w:val="none"/>
                <w:lang w:val="en-US" w:eastAsia="zh-CN"/>
              </w:rPr>
              <w:t>2</w:t>
            </w:r>
          </w:p>
        </w:tc>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1分</w:t>
            </w:r>
          </w:p>
        </w:tc>
        <w:tc>
          <w:tcPr>
            <w:tcW w:w="7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投标人具备申请空域批复能力的，或</w:t>
            </w:r>
            <w:r>
              <w:rPr>
                <w:rFonts w:hint="eastAsia" w:ascii="黑体" w:hAnsi="黑体" w:eastAsia="黑体" w:cs="黑体"/>
                <w:color w:val="auto"/>
                <w:sz w:val="24"/>
                <w:szCs w:val="24"/>
                <w:highlight w:val="none"/>
                <w:lang w:val="en-US" w:eastAsia="zh-CN"/>
              </w:rPr>
              <w:t>所投设备</w:t>
            </w:r>
            <w:r>
              <w:rPr>
                <w:rFonts w:hint="eastAsia" w:ascii="黑体" w:hAnsi="黑体" w:eastAsia="黑体" w:cs="黑体"/>
                <w:color w:val="auto"/>
                <w:sz w:val="24"/>
                <w:szCs w:val="24"/>
                <w:highlight w:val="none"/>
              </w:rPr>
              <w:t>生产厂家具备申请空域批复能力的</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提供近两年已审批的批复文件</w:t>
            </w:r>
            <w:r>
              <w:rPr>
                <w:rFonts w:hint="eastAsia" w:ascii="黑体" w:hAnsi="黑体" w:eastAsia="黑体" w:cs="黑体"/>
                <w:color w:val="auto"/>
                <w:sz w:val="24"/>
                <w:szCs w:val="24"/>
                <w:highlight w:val="none"/>
                <w:lang w:val="en-US" w:eastAsia="zh-CN"/>
              </w:rPr>
              <w:t>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团队实力</w:t>
            </w:r>
          </w:p>
        </w:tc>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tc>
        <w:tc>
          <w:tcPr>
            <w:tcW w:w="7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投标人拟派本项目的持民用无人驾驶航空器操控员执照人员，每提供1名得</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分，最多得</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（注：以上人员须提供在有效期内的人员证书及近三个月社保连续缴纳证明材料，投标文件中附复印件加盖供应商公章。）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kern w:val="2"/>
                <w:sz w:val="24"/>
                <w:szCs w:val="24"/>
                <w:highlight w:val="none"/>
                <w:lang w:val="en-US" w:eastAsia="zh-CN" w:bidi="ar-SA"/>
              </w:rPr>
              <w:t>售后服务网点</w:t>
            </w:r>
          </w:p>
        </w:tc>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kern w:val="2"/>
                <w:sz w:val="24"/>
                <w:szCs w:val="24"/>
                <w:highlight w:val="none"/>
                <w:lang w:val="en-US" w:eastAsia="zh-CN" w:bidi="ar-SA"/>
              </w:rPr>
              <w:t>1分</w:t>
            </w:r>
          </w:p>
        </w:tc>
        <w:tc>
          <w:tcPr>
            <w:tcW w:w="7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w:t>
            </w:r>
            <w:r>
              <w:rPr>
                <w:rFonts w:hint="eastAsia" w:ascii="黑体" w:hAnsi="黑体" w:eastAsia="黑体" w:cs="黑体"/>
                <w:color w:val="auto"/>
                <w:sz w:val="24"/>
                <w:szCs w:val="24"/>
                <w:highlight w:val="none"/>
                <w:lang w:val="en-US" w:eastAsia="zh-CN"/>
              </w:rPr>
              <w:t>在福建省内有售后服务网点的得1分，需提供服务网点情况表、售后服务机构地址、人员名单、联系方式等佐证。</w:t>
            </w:r>
          </w:p>
        </w:tc>
      </w:tr>
    </w:tbl>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加分项（F4×A4）</w:t>
      </w:r>
    </w:p>
    <w:tbl>
      <w:tblPr>
        <w:tblStyle w:val="5"/>
        <w:tblW w:w="4893" w:type="pct"/>
        <w:tblInd w:w="9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1"/>
        <w:gridCol w:w="899"/>
        <w:gridCol w:w="78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w:t>
            </w:r>
          </w:p>
        </w:tc>
        <w:tc>
          <w:tcPr>
            <w:tcW w:w="46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分值</w:t>
            </w:r>
          </w:p>
        </w:tc>
        <w:tc>
          <w:tcPr>
            <w:tcW w:w="4076" w:type="pct"/>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节能、环境标志产品</w:t>
            </w:r>
          </w:p>
        </w:tc>
        <w:tc>
          <w:tcPr>
            <w:tcW w:w="46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6.8</w:t>
            </w:r>
            <w:r>
              <w:rPr>
                <w:rFonts w:hint="eastAsia" w:ascii="黑体" w:hAnsi="黑体" w:eastAsia="黑体" w:cs="黑体"/>
                <w:color w:val="auto"/>
                <w:sz w:val="24"/>
                <w:szCs w:val="24"/>
                <w:highlight w:val="none"/>
              </w:rPr>
              <w:t>0</w:t>
            </w:r>
          </w:p>
        </w:tc>
        <w:tc>
          <w:tcPr>
            <w:tcW w:w="7863" w:type="dxa"/>
            <w:vAlign w:val="top"/>
          </w:tcPr>
          <w:p>
            <w:pPr>
              <w:pStyle w:val="8"/>
              <w:jc w:val="both"/>
              <w:rPr>
                <w:rFonts w:hint="eastAsia" w:ascii="黑体" w:hAnsi="黑体" w:eastAsia="黑体" w:cs="黑体"/>
                <w:color w:val="auto"/>
                <w:sz w:val="24"/>
                <w:szCs w:val="24"/>
                <w:highlight w:val="none"/>
              </w:rPr>
            </w:pPr>
            <w:r>
              <w:rPr>
                <w:rFonts w:hint="eastAsia" w:ascii="黑体" w:hAnsi="黑体" w:eastAsia="黑体" w:cs="黑体"/>
                <w:sz w:val="24"/>
                <w:szCs w:val="24"/>
                <w:highlight w:val="none"/>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（4）中标候选人排列规则顺序如下：</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a.按照评标总得分（FA）由高到低顺序排列。</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b.评标总得分（FA）相同的，按照评标价（即价格扣除后的投标报价）由低到高顺序排列。</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c.评标总得分（FA）且评标价（即价格扣除后的投标报价）相同的并列。</w:t>
      </w: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采购包4：综合评分法</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（1）投标文件满足招标文件全部实质性要求，且按照评审因素的量化指标评审得分（即评标总得分）最高的投标人为中标候选人。</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各项评审因素的设置如下：</w:t>
      </w: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价格项（F1×A1）满分为</w:t>
      </w:r>
      <w:r>
        <w:rPr>
          <w:rFonts w:hint="eastAsia" w:ascii="黑体" w:hAnsi="黑体" w:eastAsia="黑体" w:cs="黑体"/>
          <w:b/>
          <w:bCs/>
          <w:color w:val="auto"/>
          <w:sz w:val="24"/>
          <w:szCs w:val="24"/>
          <w:highlight w:val="none"/>
          <w:lang w:val="en-US" w:eastAsia="zh-CN"/>
        </w:rPr>
        <w:t>3</w:t>
      </w:r>
      <w:r>
        <w:rPr>
          <w:rFonts w:hint="eastAsia" w:ascii="黑体" w:hAnsi="黑体" w:eastAsia="黑体" w:cs="黑体"/>
          <w:b/>
          <w:bCs/>
          <w:color w:val="auto"/>
          <w:sz w:val="24"/>
          <w:szCs w:val="24"/>
          <w:highlight w:val="none"/>
        </w:rPr>
        <w:t>0.00分</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价格扣除的规则如下：</w:t>
      </w:r>
    </w:p>
    <w:tbl>
      <w:tblPr>
        <w:tblStyle w:val="5"/>
        <w:tblW w:w="499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5"/>
        <w:gridCol w:w="1260"/>
        <w:gridCol w:w="947"/>
        <w:gridCol w:w="64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w:t>
            </w:r>
          </w:p>
        </w:tc>
        <w:tc>
          <w:tcPr>
            <w:tcW w:w="64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适用对象</w:t>
            </w:r>
          </w:p>
        </w:tc>
        <w:tc>
          <w:tcPr>
            <w:tcW w:w="4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比例</w:t>
            </w:r>
          </w:p>
        </w:tc>
        <w:tc>
          <w:tcPr>
            <w:tcW w:w="3291" w:type="pct"/>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小型、微型企业，监狱企业，残疾人福利性单位</w:t>
            </w:r>
          </w:p>
        </w:tc>
        <w:tc>
          <w:tcPr>
            <w:tcW w:w="64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投标人或者联合体均为小型、微型企业</w:t>
            </w:r>
          </w:p>
        </w:tc>
        <w:tc>
          <w:tcPr>
            <w:tcW w:w="4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15.00%</w:t>
            </w:r>
          </w:p>
        </w:tc>
        <w:tc>
          <w:tcPr>
            <w:tcW w:w="6478" w:type="dxa"/>
            <w:vAlign w:val="top"/>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sz w:val="24"/>
                <w:szCs w:val="24"/>
                <w:highlight w:val="none"/>
              </w:rPr>
              <w:t>小型、微型企业产品（中、大型企业产品不予扣除）：本项目为非专门面向中小企业采购，采购标的对应的中小企业划分标准所属行业</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lang w:val="en-US" w:eastAsia="zh-CN"/>
              </w:rPr>
              <w:t>工业</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 1、对符合财政部、工信部文件（财库〔2020〕46号）规定的小型、微型企业报价给予15%（工程项目为3%）的扣除，用扣除后的价格参加评审。应按第七章投标文件格式中规定填写并提供《中小企业声明函》（货物），声明函中“标的名称” 、“采购文件中明确的所属行业”项应根据第五章《采购标的一览表具体明细表》中规定准确填写,多品目（采购标的）的须逐条填列，“制造商为（企业名称）”项应准确填写对应的企业全称，“（中型企业、小型企业、微型企业）”项应明确填写属于中型企业、小型企业或是微型企业，否则，其提供的中小企业声明将被判定为无效声明函，不予价格扣除,由此造成的后果由投标人自行承担。 2、对符合财政部、司法部文件（财库[2014]68号）规定的监狱企业(以下简称监狱企业)参加政府采购活动视同小型、微型企业，提供货物（承接的服务）为本单位制造的，其报价享受15%的评审价格扣除优惠，须提供由省级以上监狱管理局、戒毒管理局（含新疆生产建设兵团）出具的属于监狱企业的证明文件，否则不予价格扣除。 3、对符合财政部、民政部、中国残联文件（财库[2017]141号）规定的残疾人福利性单位参加政府采购活动视同小型、微型企业，提供《残疾人福利性单位声明函》并对声明的真实性负责，其报价享受15%（工程项目为3%）的评审价格扣除优惠。对残疾人福利性单位与其他组织组成联合体参与政府采购活动的，残疾人福利性单位的协议合同金额占总合同金额30%以上的，给予联合体合同金额5%（工程项目为1%）的价格扣除。残疾人福利性单位参与货物项目的，须在投标文件中写明具体哪些货物是由本单位制造，或者由其他残疾人福利性单位制造（不包括使用非残疾人福利性单位注册商标的货物），对其进行标注并提供有分项报价表，否则不予价格扣除。残疾人福利性单位视同小型、微型企业。残疾人福利性单位属于小型、微型企业的，不重复享受政策。 注：投标人提供声明函内容不实的或提供虚假证明文件的，均属于提供虚假材料谋取中标、成交，一经发现将依照《中华人民共和国政府采购法》等国家有关规定追究相应责任。</w:t>
            </w:r>
          </w:p>
        </w:tc>
      </w:tr>
    </w:tbl>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其他：无</w:t>
      </w: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技术项（F2×A2）满分为</w:t>
      </w:r>
      <w:r>
        <w:rPr>
          <w:rFonts w:hint="eastAsia" w:ascii="黑体" w:hAnsi="黑体" w:eastAsia="黑体" w:cs="黑体"/>
          <w:b/>
          <w:bCs/>
          <w:color w:val="auto"/>
          <w:sz w:val="24"/>
          <w:szCs w:val="24"/>
          <w:highlight w:val="none"/>
          <w:lang w:val="en-US" w:eastAsia="zh-CN"/>
        </w:rPr>
        <w:t>6</w:t>
      </w:r>
      <w:r>
        <w:rPr>
          <w:rFonts w:hint="eastAsia" w:ascii="黑体" w:hAnsi="黑体" w:eastAsia="黑体" w:cs="黑体"/>
          <w:b/>
          <w:bCs/>
          <w:color w:val="auto"/>
          <w:sz w:val="24"/>
          <w:szCs w:val="24"/>
          <w:highlight w:val="none"/>
        </w:rPr>
        <w:t>0.00分</w:t>
      </w:r>
    </w:p>
    <w:tbl>
      <w:tblPr>
        <w:tblStyle w:val="5"/>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55"/>
        <w:gridCol w:w="8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noWrap w:val="0"/>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w:t>
            </w:r>
          </w:p>
        </w:tc>
        <w:tc>
          <w:tcPr>
            <w:tcW w:w="855" w:type="dxa"/>
            <w:noWrap w:val="0"/>
            <w:vAlign w:val="center"/>
          </w:tcPr>
          <w:p>
            <w:pPr>
              <w:pStyle w:val="8"/>
              <w:spacing w:line="360" w:lineRule="auto"/>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值</w:t>
            </w:r>
          </w:p>
        </w:tc>
        <w:tc>
          <w:tcPr>
            <w:tcW w:w="8344" w:type="dxa"/>
            <w:noWrap w:val="0"/>
            <w:vAlign w:val="top"/>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b w:val="0"/>
                <w:bCs/>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技术参数要求</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60</w:t>
            </w:r>
            <w:r>
              <w:rPr>
                <w:rFonts w:hint="eastAsia" w:ascii="黑体" w:hAnsi="黑体" w:eastAsia="黑体" w:cs="黑体"/>
                <w:color w:val="auto"/>
                <w:sz w:val="24"/>
                <w:szCs w:val="24"/>
                <w:highlight w:val="none"/>
              </w:rPr>
              <w:t>分</w:t>
            </w:r>
          </w:p>
        </w:tc>
        <w:tc>
          <w:tcPr>
            <w:tcW w:w="8344" w:type="dxa"/>
            <w:noWrap w:val="0"/>
            <w:vAlign w:val="center"/>
          </w:tcPr>
          <w:p>
            <w:pPr>
              <w:spacing w:line="360" w:lineRule="auto"/>
              <w:jc w:val="left"/>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1.投标文件中提供《货物说明一览表》、《技术响应/偏离表》、产品技术规格书(或使用说明书)：缺少任意一份资料的，本项计 0分；</w:t>
            </w:r>
          </w:p>
          <w:p>
            <w:pPr>
              <w:spacing w:line="360" w:lineRule="auto"/>
              <w:jc w:val="left"/>
              <w:rPr>
                <w:rFonts w:hint="eastAsia" w:ascii="黑体" w:hAnsi="黑体" w:eastAsia="黑体" w:cs="黑体"/>
                <w:b w:val="0"/>
                <w:bCs w:val="0"/>
                <w:color w:val="auto"/>
                <w:sz w:val="24"/>
                <w:szCs w:val="24"/>
                <w:highlight w:val="none"/>
                <w:u w:val="none"/>
              </w:rPr>
            </w:pPr>
            <w:r>
              <w:rPr>
                <w:rFonts w:hint="eastAsia" w:ascii="黑体" w:hAnsi="黑体" w:eastAsia="黑体" w:cs="黑体"/>
                <w:b w:val="0"/>
                <w:bCs w:val="0"/>
                <w:color w:val="auto"/>
                <w:sz w:val="24"/>
                <w:szCs w:val="24"/>
                <w:highlight w:val="none"/>
                <w:u w:val="none"/>
                <w:lang w:val="en-US" w:eastAsia="zh-CN"/>
              </w:rPr>
              <w:t>2.</w:t>
            </w:r>
            <w:r>
              <w:rPr>
                <w:rFonts w:hint="eastAsia" w:ascii="黑体" w:hAnsi="黑体" w:eastAsia="黑体" w:cs="黑体"/>
                <w:b w:val="0"/>
                <w:bCs w:val="0"/>
                <w:color w:val="auto"/>
                <w:sz w:val="24"/>
                <w:szCs w:val="24"/>
                <w:highlight w:val="none"/>
                <w:u w:val="none"/>
              </w:rPr>
              <w:t>技术要求中标注“</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rPr>
              <w:t>”符号的技术参数有不响应或负偏离的视为未实质性响应招标文件要求，投标无效；标注“▲”符号的技术参数</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lang w:val="en-US" w:eastAsia="zh-CN"/>
              </w:rPr>
              <w:t>共19项）</w:t>
            </w:r>
            <w:r>
              <w:rPr>
                <w:rFonts w:hint="eastAsia" w:ascii="黑体" w:hAnsi="黑体" w:eastAsia="黑体" w:cs="黑体"/>
                <w:b w:val="0"/>
                <w:bCs w:val="0"/>
                <w:color w:val="auto"/>
                <w:sz w:val="24"/>
                <w:szCs w:val="24"/>
                <w:highlight w:val="none"/>
                <w:u w:val="none"/>
              </w:rPr>
              <w:t>每负偏离一项扣</w:t>
            </w:r>
            <w:r>
              <w:rPr>
                <w:rFonts w:hint="eastAsia" w:ascii="黑体" w:hAnsi="黑体" w:eastAsia="黑体" w:cs="黑体"/>
                <w:b w:val="0"/>
                <w:bCs w:val="0"/>
                <w:color w:val="auto"/>
                <w:sz w:val="24"/>
                <w:szCs w:val="24"/>
                <w:highlight w:val="none"/>
                <w:u w:val="none"/>
                <w:lang w:val="en-US" w:eastAsia="zh-CN"/>
              </w:rPr>
              <w:t>2.5</w:t>
            </w:r>
            <w:r>
              <w:rPr>
                <w:rFonts w:hint="eastAsia" w:ascii="黑体" w:hAnsi="黑体" w:eastAsia="黑体" w:cs="黑体"/>
                <w:b w:val="0"/>
                <w:bCs w:val="0"/>
                <w:color w:val="auto"/>
                <w:sz w:val="24"/>
                <w:szCs w:val="24"/>
                <w:highlight w:val="none"/>
                <w:u w:val="none"/>
              </w:rPr>
              <w:t>分</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rPr>
              <w:t>一般技术指标（未标注“</w:t>
            </w:r>
            <w:r>
              <w:rPr>
                <w:rFonts w:hint="eastAsia" w:ascii="黑体" w:hAnsi="黑体" w:eastAsia="黑体" w:cs="黑体"/>
                <w:b w:val="0"/>
                <w:bCs w:val="0"/>
                <w:color w:val="auto"/>
                <w:sz w:val="24"/>
                <w:szCs w:val="24"/>
                <w:highlight w:val="none"/>
                <w:u w:val="none"/>
                <w:lang w:eastAsia="zh-CN"/>
              </w:rPr>
              <w:t>★或</w:t>
            </w:r>
            <w:r>
              <w:rPr>
                <w:rFonts w:hint="eastAsia" w:ascii="黑体" w:hAnsi="黑体" w:eastAsia="黑体" w:cs="黑体"/>
                <w:b w:val="0"/>
                <w:bCs w:val="0"/>
                <w:color w:val="auto"/>
                <w:sz w:val="24"/>
                <w:szCs w:val="24"/>
                <w:highlight w:val="none"/>
                <w:u w:val="none"/>
              </w:rPr>
              <w:t>▲”号</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lang w:val="en-US" w:eastAsia="zh-CN"/>
              </w:rPr>
              <w:t>共计9项</w:t>
            </w:r>
            <w:r>
              <w:rPr>
                <w:rFonts w:hint="eastAsia" w:ascii="黑体" w:hAnsi="黑体" w:eastAsia="黑体" w:cs="黑体"/>
                <w:b w:val="0"/>
                <w:bCs w:val="0"/>
                <w:color w:val="auto"/>
                <w:sz w:val="24"/>
                <w:szCs w:val="24"/>
                <w:highlight w:val="none"/>
                <w:u w:val="none"/>
              </w:rPr>
              <w:t>）偏离扣</w:t>
            </w:r>
            <w:r>
              <w:rPr>
                <w:rFonts w:hint="eastAsia" w:ascii="黑体" w:hAnsi="黑体" w:eastAsia="黑体" w:cs="黑体"/>
                <w:b w:val="0"/>
                <w:bCs w:val="0"/>
                <w:color w:val="auto"/>
                <w:sz w:val="24"/>
                <w:szCs w:val="24"/>
                <w:highlight w:val="none"/>
                <w:u w:val="none"/>
                <w:lang w:val="en-US" w:eastAsia="zh-CN"/>
              </w:rPr>
              <w:t>1.5</w:t>
            </w:r>
            <w:r>
              <w:rPr>
                <w:rFonts w:hint="eastAsia" w:ascii="黑体" w:hAnsi="黑体" w:eastAsia="黑体" w:cs="黑体"/>
                <w:b w:val="0"/>
                <w:bCs w:val="0"/>
                <w:color w:val="auto"/>
                <w:sz w:val="24"/>
                <w:szCs w:val="24"/>
                <w:highlight w:val="none"/>
                <w:u w:val="none"/>
              </w:rPr>
              <w:t>分</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rPr>
              <w:t>扣完为止。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备</w:t>
            </w:r>
            <w:r>
              <w:rPr>
                <w:rFonts w:hint="eastAsia" w:ascii="黑体" w:hAnsi="黑体" w:eastAsia="黑体" w:cs="黑体"/>
                <w:b/>
                <w:bCs/>
                <w:color w:val="auto"/>
                <w:sz w:val="24"/>
                <w:szCs w:val="24"/>
                <w:highlight w:val="none"/>
                <w:u w:val="none"/>
              </w:rPr>
              <w:t>注：</w:t>
            </w:r>
            <w:r>
              <w:rPr>
                <w:rFonts w:hint="eastAsia" w:ascii="黑体" w:hAnsi="黑体" w:eastAsia="黑体" w:cs="黑体"/>
                <w:b/>
                <w:bCs/>
                <w:color w:val="auto"/>
                <w:sz w:val="24"/>
                <w:szCs w:val="24"/>
                <w:highlight w:val="none"/>
                <w:u w:val="none"/>
                <w:lang w:val="en-US" w:eastAsia="zh-CN"/>
              </w:rPr>
              <w:t>技术参数中有明确佐证资料的，按技术参数要求提供佐证资料，未做要求的按如下方式提供佐证资料：1.</w:t>
            </w:r>
            <w:r>
              <w:rPr>
                <w:rFonts w:hint="eastAsia" w:ascii="黑体" w:hAnsi="黑体" w:eastAsia="黑体" w:cs="黑体"/>
                <w:b w:val="0"/>
                <w:bCs w:val="0"/>
                <w:color w:val="auto"/>
                <w:sz w:val="24"/>
                <w:szCs w:val="24"/>
                <w:highlight w:val="none"/>
                <w:u w:val="none"/>
              </w:rPr>
              <w:t>技术指标以投标人提供的《技术偏离表》为准，若《技术偏离表》与投标文件中提供的检验报告或产品技术规格书等证明材料不一致的，以检验报告或产品技术规格书等证明材料为准</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lang w:val="en-US" w:eastAsia="zh-CN"/>
              </w:rPr>
              <w:t>3.</w:t>
            </w:r>
            <w:r>
              <w:rPr>
                <w:rFonts w:hint="eastAsia" w:ascii="黑体" w:hAnsi="黑体" w:eastAsia="黑体" w:cs="黑体"/>
                <w:b w:val="0"/>
                <w:bCs w:val="0"/>
                <w:color w:val="auto"/>
                <w:sz w:val="24"/>
                <w:szCs w:val="24"/>
                <w:highlight w:val="none"/>
                <w:u w:val="none"/>
              </w:rPr>
              <w:t>技术响应情况须完整填列在《技术和服务要求响应表》中,未填列或漏项的，评标委员会将按照不利于投标人的判定进行评审（即认定为负偏离）</w:t>
            </w:r>
            <w:r>
              <w:rPr>
                <w:rFonts w:hint="eastAsia" w:ascii="黑体" w:hAnsi="黑体" w:eastAsia="黑体" w:cs="黑体"/>
                <w:b w:val="0"/>
                <w:bCs w:val="0"/>
                <w:color w:val="auto"/>
                <w:sz w:val="24"/>
                <w:szCs w:val="24"/>
                <w:highlight w:val="none"/>
                <w:u w:val="none"/>
                <w:lang w:eastAsia="zh-CN"/>
              </w:rPr>
              <w:t>；</w:t>
            </w:r>
          </w:p>
        </w:tc>
      </w:tr>
    </w:tbl>
    <w:p>
      <w:pPr>
        <w:pStyle w:val="8"/>
        <w:spacing w:line="360" w:lineRule="auto"/>
        <w:jc w:val="both"/>
        <w:rPr>
          <w:rFonts w:hint="eastAsia" w:ascii="黑体" w:hAnsi="黑体" w:eastAsia="黑体" w:cs="黑体"/>
          <w:b/>
          <w:bCs/>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商务项（F3×A3）满分为</w:t>
      </w:r>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rPr>
        <w:t>0.00分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780"/>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5" w:type="dxa"/>
            <w:noWrap w:val="0"/>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w:t>
            </w:r>
          </w:p>
        </w:tc>
        <w:tc>
          <w:tcPr>
            <w:tcW w:w="780" w:type="dxa"/>
            <w:noWrap w:val="0"/>
            <w:vAlign w:val="center"/>
          </w:tcPr>
          <w:p>
            <w:pPr>
              <w:pStyle w:val="8"/>
              <w:spacing w:line="360" w:lineRule="auto"/>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值</w:t>
            </w:r>
          </w:p>
        </w:tc>
        <w:tc>
          <w:tcPr>
            <w:tcW w:w="7869" w:type="dxa"/>
            <w:noWrap w:val="0"/>
            <w:vAlign w:val="top"/>
          </w:tcPr>
          <w:p>
            <w:pPr>
              <w:pStyle w:val="8"/>
              <w:spacing w:line="360" w:lineRule="auto"/>
              <w:jc w:val="center"/>
              <w:rPr>
                <w:rFonts w:hint="eastAsia" w:ascii="黑体" w:hAnsi="黑体" w:eastAsia="黑体" w:cs="黑体"/>
                <w:b/>
                <w:color w:val="auto"/>
                <w:sz w:val="24"/>
                <w:szCs w:val="24"/>
                <w:highlight w:val="none"/>
                <w:lang w:val="en-US" w:eastAsia="zh-CN"/>
              </w:rPr>
            </w:pPr>
            <w:r>
              <w:rPr>
                <w:rFonts w:hint="eastAsia" w:ascii="黑体" w:hAnsi="黑体" w:eastAsia="黑体" w:cs="黑体"/>
                <w:b w:val="0"/>
                <w:bCs/>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5" w:type="dxa"/>
            <w:noWrap w:val="0"/>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综合实力</w:t>
            </w:r>
          </w:p>
        </w:tc>
        <w:tc>
          <w:tcPr>
            <w:tcW w:w="780" w:type="dxa"/>
            <w:noWrap w:val="0"/>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w:t>
            </w:r>
          </w:p>
        </w:tc>
        <w:tc>
          <w:tcPr>
            <w:tcW w:w="7869" w:type="dxa"/>
            <w:noWrap w:val="0"/>
            <w:vAlign w:val="center"/>
          </w:tcPr>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投标人具有质量管理体系认证证书、职业健康安全管理体系认证证书、环境管理体系认证证书，</w:t>
            </w:r>
            <w:r>
              <w:rPr>
                <w:rFonts w:hint="eastAsia" w:ascii="黑体" w:hAnsi="黑体" w:eastAsia="黑体" w:cs="黑体"/>
                <w:color w:val="auto"/>
                <w:sz w:val="24"/>
                <w:szCs w:val="24"/>
                <w:highlight w:val="none"/>
                <w:lang w:val="en-US" w:eastAsia="zh-CN"/>
              </w:rPr>
              <w:t>每具备一项得1分，满分3分</w:t>
            </w:r>
            <w:r>
              <w:rPr>
                <w:rFonts w:hint="eastAsia" w:ascii="黑体" w:hAnsi="黑体" w:eastAsia="黑体" w:cs="黑体"/>
                <w:color w:val="auto"/>
                <w:sz w:val="24"/>
                <w:szCs w:val="24"/>
                <w:highlight w:val="none"/>
              </w:rPr>
              <w:t>。</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评审依据：提供国家认证认可监督管理委员网站截图（https://www.cnca.gov.cn/）及有效期内的证书扫描件并加盖投标人公章。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kern w:val="2"/>
                <w:sz w:val="24"/>
                <w:szCs w:val="24"/>
                <w:highlight w:val="none"/>
                <w:lang w:val="en-US" w:eastAsia="zh-CN" w:bidi="ar-SA"/>
              </w:rPr>
              <w:t>类似业绩</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kern w:val="2"/>
                <w:sz w:val="24"/>
                <w:szCs w:val="24"/>
                <w:highlight w:val="none"/>
                <w:lang w:val="en-US" w:eastAsia="zh-CN" w:bidi="ar-SA"/>
              </w:rPr>
              <w:t>3分</w:t>
            </w:r>
          </w:p>
        </w:tc>
        <w:tc>
          <w:tcPr>
            <w:tcW w:w="7869" w:type="dxa"/>
            <w:noWrap w:val="0"/>
            <w:vAlign w:val="center"/>
          </w:tcPr>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 2020 年以来有相关类似项目业绩，每提供 1 个</w:t>
            </w:r>
            <w:r>
              <w:rPr>
                <w:rFonts w:hint="eastAsia" w:ascii="黑体" w:hAnsi="黑体" w:eastAsia="黑体" w:cs="黑体"/>
                <w:color w:val="auto"/>
                <w:sz w:val="24"/>
                <w:szCs w:val="24"/>
                <w:highlight w:val="none"/>
                <w:lang w:val="en-US" w:eastAsia="zh-CN"/>
              </w:rPr>
              <w:t>得</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分，最多</w:t>
            </w:r>
            <w:r>
              <w:rPr>
                <w:rFonts w:hint="eastAsia" w:ascii="黑体" w:hAnsi="黑体" w:eastAsia="黑体" w:cs="黑体"/>
                <w:color w:val="auto"/>
                <w:sz w:val="24"/>
                <w:szCs w:val="24"/>
                <w:highlight w:val="none"/>
                <w:lang w:val="en-US" w:eastAsia="zh-CN"/>
              </w:rPr>
              <w:t>得3</w:t>
            </w:r>
            <w:r>
              <w:rPr>
                <w:rFonts w:hint="eastAsia" w:ascii="黑体" w:hAnsi="黑体" w:eastAsia="黑体" w:cs="黑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lang w:val="en-US" w:eastAsia="zh-CN"/>
              </w:rPr>
              <w:t>投标人</w:t>
            </w:r>
            <w:r>
              <w:rPr>
                <w:rFonts w:hint="eastAsia" w:ascii="黑体" w:hAnsi="黑体" w:eastAsia="黑体" w:cs="黑体"/>
                <w:b/>
                <w:color w:val="auto"/>
                <w:sz w:val="24"/>
                <w:szCs w:val="24"/>
                <w:highlight w:val="none"/>
              </w:rPr>
              <w:t>需提供该业绩项目以下资料有效复印件：①中标（成交）公告（提供相关网站中标（成交）公告的下载网页及其网址）；②中标（成交）通知书复印件； ③采购合同文本复印件；④能够证明该业绩项目已经采购人验收合格的相关证明文件复印件；备注：上述4项缺一不可，</w:t>
            </w:r>
            <w:r>
              <w:rPr>
                <w:rFonts w:hint="eastAsia" w:ascii="黑体" w:hAnsi="黑体" w:eastAsia="黑体" w:cs="黑体"/>
                <w:b/>
                <w:color w:val="auto"/>
                <w:sz w:val="24"/>
                <w:szCs w:val="24"/>
                <w:highlight w:val="none"/>
                <w:lang w:val="en-US" w:eastAsia="zh-CN"/>
              </w:rPr>
              <w:t>投标人</w:t>
            </w:r>
            <w:r>
              <w:rPr>
                <w:rFonts w:hint="eastAsia" w:ascii="黑体" w:hAnsi="黑体" w:eastAsia="黑体" w:cs="黑体"/>
                <w:b/>
                <w:color w:val="auto"/>
                <w:sz w:val="24"/>
                <w:szCs w:val="24"/>
                <w:highlight w:val="none"/>
              </w:rPr>
              <w:t>如未按照以上要求提供该项目业绩完整资料的，评标委员会对该项业绩将不予采信。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5" w:type="dxa"/>
            <w:noWrap w:val="0"/>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售后服务</w:t>
            </w:r>
          </w:p>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方案</w:t>
            </w:r>
          </w:p>
          <w:p>
            <w:pPr>
              <w:spacing w:line="360" w:lineRule="auto"/>
              <w:jc w:val="center"/>
              <w:rPr>
                <w:rFonts w:hint="eastAsia" w:ascii="黑体" w:hAnsi="黑体" w:eastAsia="黑体" w:cs="黑体"/>
                <w:color w:val="auto"/>
                <w:sz w:val="24"/>
                <w:szCs w:val="24"/>
                <w:highlight w:val="none"/>
              </w:rPr>
            </w:pPr>
          </w:p>
        </w:tc>
        <w:tc>
          <w:tcPr>
            <w:tcW w:w="780" w:type="dxa"/>
            <w:noWrap w:val="0"/>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3分</w:t>
            </w:r>
          </w:p>
        </w:tc>
        <w:tc>
          <w:tcPr>
            <w:tcW w:w="7869" w:type="dxa"/>
            <w:noWrap w:val="0"/>
            <w:vAlign w:val="center"/>
          </w:tcPr>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根据投标人针对本项目提出的售后服务方案包含但不限于售后服务承诺、产品售后质量保障措施、售后服务管理体系、售后服务响应和问题解决时间等方面内容，按以下量化指标和对应分值进行评审计分：</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1、有完善的售后服务体系，2、有专业服务团队，3、具体的响应时间，4、质量保障方案，5、故障出现解决方案。</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对照上列 5 项量化指标，每项按：</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①方案内容详细，针对性强、合理性高、可行性高，能完全满足并优于采购人要求的，计</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②方案内容一般，针对性一般、合理性、可行性一般，基本满足采购人要求的，基本符合计</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分；</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③方案内容较粗略，针对性、合理性、可行性较差的，欠符合计</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分的对应分值进行评分。</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注：本项“售后服务方案”评审因素汇总得分最多计</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分，未提供方案的不计分。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kern w:val="2"/>
                <w:sz w:val="24"/>
                <w:szCs w:val="24"/>
                <w:highlight w:val="none"/>
                <w:lang w:val="en-US" w:eastAsia="zh-CN" w:bidi="ar-SA"/>
              </w:rPr>
              <w:t>售后服务网点</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kern w:val="2"/>
                <w:sz w:val="24"/>
                <w:szCs w:val="24"/>
                <w:highlight w:val="none"/>
                <w:lang w:val="en-US" w:eastAsia="zh-CN" w:bidi="ar-SA"/>
              </w:rPr>
              <w:t>1分</w:t>
            </w:r>
          </w:p>
        </w:tc>
        <w:tc>
          <w:tcPr>
            <w:tcW w:w="78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w:t>
            </w:r>
            <w:r>
              <w:rPr>
                <w:rFonts w:hint="eastAsia" w:ascii="黑体" w:hAnsi="黑体" w:eastAsia="黑体" w:cs="黑体"/>
                <w:color w:val="auto"/>
                <w:sz w:val="24"/>
                <w:szCs w:val="24"/>
                <w:highlight w:val="none"/>
                <w:lang w:val="en-US" w:eastAsia="zh-CN"/>
              </w:rPr>
              <w:t>在福建省内有售后服务网点的得1分，需提供服务网点情况表、售后服务机构地址、人员名单、联系方式等佐证。</w:t>
            </w:r>
          </w:p>
        </w:tc>
      </w:tr>
    </w:tbl>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加分项（F4×A4）</w:t>
      </w:r>
    </w:p>
    <w:tbl>
      <w:tblPr>
        <w:tblStyle w:val="5"/>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7"/>
        <w:gridCol w:w="900"/>
        <w:gridCol w:w="79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w:t>
            </w:r>
          </w:p>
        </w:tc>
        <w:tc>
          <w:tcPr>
            <w:tcW w:w="45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分值</w:t>
            </w:r>
          </w:p>
        </w:tc>
        <w:tc>
          <w:tcPr>
            <w:tcW w:w="4045" w:type="pct"/>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节能、环境标志产品</w:t>
            </w:r>
          </w:p>
        </w:tc>
        <w:tc>
          <w:tcPr>
            <w:tcW w:w="45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7.20</w:t>
            </w:r>
          </w:p>
        </w:tc>
        <w:tc>
          <w:tcPr>
            <w:tcW w:w="7971" w:type="dxa"/>
            <w:vAlign w:val="top"/>
          </w:tcPr>
          <w:p>
            <w:pPr>
              <w:pStyle w:val="8"/>
              <w:jc w:val="both"/>
              <w:rPr>
                <w:rFonts w:hint="eastAsia" w:ascii="黑体" w:hAnsi="黑体" w:eastAsia="黑体" w:cs="黑体"/>
                <w:color w:val="auto"/>
                <w:sz w:val="24"/>
                <w:szCs w:val="24"/>
                <w:highlight w:val="none"/>
              </w:rPr>
            </w:pPr>
            <w:r>
              <w:rPr>
                <w:rFonts w:hint="eastAsia" w:ascii="黑体" w:hAnsi="黑体" w:eastAsia="黑体" w:cs="黑体"/>
                <w:sz w:val="24"/>
                <w:szCs w:val="24"/>
                <w:highlight w:val="none"/>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（4）中标候选人排列规则顺序如下：</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a.按照评标总得分（FA）由高到低顺序排列。</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b.评标总得分（FA）相同的，按照评标价（即价格扣除后的投标报价）由低到高顺序排列。</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c.评标总得分（FA）且评标价（即价格扣除后的投标报价）相同的并列。</w:t>
      </w: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采购包5：综合评分法</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（1）投标文件满足招标文件全部实质性要求，且按照评审因素的量化指标评审得分（即评标总得分）最高的投标人为中标候选人。</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各项评审因素的设置如下：</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价格项（F1×A1）满分为</w:t>
      </w:r>
      <w:r>
        <w:rPr>
          <w:rFonts w:hint="eastAsia" w:ascii="黑体" w:hAnsi="黑体" w:eastAsia="黑体" w:cs="黑体"/>
          <w:b/>
          <w:bCs/>
          <w:color w:val="auto"/>
          <w:sz w:val="24"/>
          <w:szCs w:val="24"/>
          <w:highlight w:val="none"/>
          <w:lang w:val="en-US" w:eastAsia="zh-CN"/>
        </w:rPr>
        <w:t>3</w:t>
      </w:r>
      <w:r>
        <w:rPr>
          <w:rFonts w:hint="eastAsia" w:ascii="黑体" w:hAnsi="黑体" w:eastAsia="黑体" w:cs="黑体"/>
          <w:b/>
          <w:bCs/>
          <w:color w:val="auto"/>
          <w:sz w:val="24"/>
          <w:szCs w:val="24"/>
          <w:highlight w:val="none"/>
        </w:rPr>
        <w:t>0.00分</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价格扣除的规则如下：</w:t>
      </w:r>
    </w:p>
    <w:tbl>
      <w:tblPr>
        <w:tblStyle w:val="5"/>
        <w:tblW w:w="499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5"/>
        <w:gridCol w:w="1260"/>
        <w:gridCol w:w="947"/>
        <w:gridCol w:w="64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w:t>
            </w:r>
          </w:p>
        </w:tc>
        <w:tc>
          <w:tcPr>
            <w:tcW w:w="64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适用对象</w:t>
            </w:r>
          </w:p>
        </w:tc>
        <w:tc>
          <w:tcPr>
            <w:tcW w:w="4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比例</w:t>
            </w:r>
          </w:p>
        </w:tc>
        <w:tc>
          <w:tcPr>
            <w:tcW w:w="3291" w:type="pct"/>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小型、微型企业，监狱企业，残疾人福利性单位</w:t>
            </w:r>
          </w:p>
        </w:tc>
        <w:tc>
          <w:tcPr>
            <w:tcW w:w="640"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投标人或者联合体均为小型、微型企业</w:t>
            </w:r>
          </w:p>
        </w:tc>
        <w:tc>
          <w:tcPr>
            <w:tcW w:w="481"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15.00%</w:t>
            </w:r>
          </w:p>
        </w:tc>
        <w:tc>
          <w:tcPr>
            <w:tcW w:w="6478" w:type="dxa"/>
            <w:vAlign w:val="top"/>
          </w:tcPr>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sz w:val="24"/>
                <w:szCs w:val="24"/>
                <w:highlight w:val="none"/>
              </w:rPr>
              <w:t>小型、微型企业产品（中、大型企业产品不予扣除）：本项目为非专门面向中小企业采购，采购标的对应的中小企业划分标准所属行业</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lang w:val="en-US" w:eastAsia="zh-CN"/>
              </w:rPr>
              <w:t>工业</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 1、对符合财政部、工信部文件（财库〔2020〕46号）规定的小型、微型企业报价给予15%（工程项目为3%）的扣除，用扣除后的价格参加评审。应按第七章投标文件格式中规定填写并提供《中小企业声明函》（货物），声明函中“标的名称” 、“采购文件中明确的所属行业”项应根据第五章《采购标的一览表具体明细表》中规定准确填写,多品目（采购标的）的须逐条填列，“制造商为（企业名称）”项应准确填写对应的企业全称，“（中型企业、小型企业、微型企业）”项应明确填写属于中型企业、小型企业或是微型企业，否则，其提供的中小企业声明将被判定为无效声明函，不予价格扣除,由此造成的后果由投标人自行承担。 2、对符合财政部、司法部文件（财库[2014]68号）规定的监狱企业(以下简称监狱企业)参加政府采购活动视同小型、微型企业，提供货物（承接的服务）为本单位制造的，其报价享受15%的评审价格扣除优惠，须提供由省级以上监狱管理局、戒毒管理局（含新疆生产建设兵团）出具的属于监狱企业的证明文件，否则不予价格扣除。 3、对符合财政部、民政部、中国残联文件（财库[2017]141号）规定的残疾人福利性单位参加政府采购活动视同小型、微型企业，提供《残疾人福利性单位声明函》并对声明的真实性负责，其报价享受15%（工程项目为3%）的评审价格扣除优惠。对残疾人福利性单位与其他组织组成联合体参与政府采购活动的，残疾人福利性单位的协议合同金额占总合同金额30%以上的，给予联合体合同金额5%（工程项目为1%）的价格扣除。残疾人福利性单位参与货物项目的，须在投标文件中写明具体哪些货物是由本单位制造，或者由其他残疾人福利性单位制造（不包括使用非残疾人福利性单位注册商标的货物），对其进行标注并提供有分项报价表，否则不予价格扣除。残疾人福利性单位视同小型、微型企业。残疾人福利性单位属于小型、微型企业的，不重复享受政策。 注：投标人提供声明函内容不实的或提供虚假证明文件的，均属于提供虚假材料谋取中标、成交，一经发现将依照《中华人民共和国政府采购法》等国家有关规定追究相应责任。</w:t>
            </w:r>
          </w:p>
        </w:tc>
      </w:tr>
    </w:tbl>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其他：无</w:t>
      </w: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技术项（F2×A2）满分为</w:t>
      </w:r>
      <w:r>
        <w:rPr>
          <w:rFonts w:hint="eastAsia" w:ascii="黑体" w:hAnsi="黑体" w:eastAsia="黑体" w:cs="黑体"/>
          <w:b/>
          <w:bCs/>
          <w:color w:val="auto"/>
          <w:sz w:val="24"/>
          <w:szCs w:val="24"/>
          <w:highlight w:val="none"/>
          <w:lang w:val="en-US" w:eastAsia="zh-CN"/>
        </w:rPr>
        <w:t>57</w:t>
      </w:r>
      <w:r>
        <w:rPr>
          <w:rFonts w:hint="eastAsia" w:ascii="黑体" w:hAnsi="黑体" w:eastAsia="黑体" w:cs="黑体"/>
          <w:b/>
          <w:bCs/>
          <w:color w:val="auto"/>
          <w:sz w:val="24"/>
          <w:szCs w:val="24"/>
          <w:highlight w:val="none"/>
        </w:rPr>
        <w:t>.00分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765"/>
        <w:gridCol w:w="8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99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color w:val="auto"/>
                <w:sz w:val="24"/>
                <w:szCs w:val="24"/>
                <w:highlight w:val="none"/>
                <w:lang w:eastAsia="zh-CN"/>
              </w:rPr>
            </w:pPr>
            <w:r>
              <w:rPr>
                <w:rFonts w:hint="eastAsia" w:ascii="黑体" w:hAnsi="黑体" w:eastAsia="黑体" w:cs="黑体"/>
                <w:b/>
                <w:color w:val="auto"/>
                <w:sz w:val="24"/>
                <w:szCs w:val="24"/>
                <w:highlight w:val="none"/>
                <w:lang w:val="en-US" w:eastAsia="zh-CN"/>
              </w:rPr>
              <w:t>项目</w:t>
            </w:r>
          </w:p>
        </w:tc>
        <w:tc>
          <w:tcPr>
            <w:tcW w:w="76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rPr>
              <w:t>分</w:t>
            </w:r>
            <w:r>
              <w:rPr>
                <w:rFonts w:hint="eastAsia" w:ascii="黑体" w:hAnsi="黑体" w:eastAsia="黑体" w:cs="黑体"/>
                <w:b/>
                <w:color w:val="auto"/>
                <w:sz w:val="24"/>
                <w:szCs w:val="24"/>
                <w:highlight w:val="none"/>
                <w:lang w:val="en-US" w:eastAsia="zh-CN"/>
              </w:rPr>
              <w:t>值</w:t>
            </w:r>
          </w:p>
        </w:tc>
        <w:tc>
          <w:tcPr>
            <w:tcW w:w="809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color w:val="auto"/>
                <w:sz w:val="24"/>
                <w:szCs w:val="24"/>
                <w:highlight w:val="none"/>
              </w:rPr>
              <w:t>投标产品技术性能指标</w:t>
            </w:r>
          </w:p>
        </w:tc>
        <w:tc>
          <w:tcPr>
            <w:tcW w:w="765" w:type="dxa"/>
            <w:noWrap w:val="0"/>
            <w:vAlign w:val="center"/>
          </w:tcPr>
          <w:p>
            <w:pPr>
              <w:pStyle w:val="9"/>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45</w:t>
            </w:r>
            <w:r>
              <w:rPr>
                <w:rFonts w:hint="eastAsia" w:ascii="黑体" w:hAnsi="黑体" w:eastAsia="黑体" w:cs="黑体"/>
                <w:color w:val="auto"/>
                <w:sz w:val="24"/>
                <w:szCs w:val="24"/>
                <w:highlight w:val="none"/>
              </w:rPr>
              <w:t>分</w:t>
            </w:r>
          </w:p>
        </w:tc>
        <w:tc>
          <w:tcPr>
            <w:tcW w:w="809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技术要求中标注“★”符号的技术参数有不响应或负偏离的视为未实质性响应招标文件要求，投标无效；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.标注“▲”符号的技术参数</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共计20项）</w:t>
            </w:r>
            <w:r>
              <w:rPr>
                <w:rFonts w:hint="eastAsia" w:ascii="黑体" w:hAnsi="黑体" w:eastAsia="黑体" w:cs="黑体"/>
                <w:color w:val="auto"/>
                <w:sz w:val="24"/>
                <w:szCs w:val="24"/>
                <w:highlight w:val="none"/>
              </w:rPr>
              <w:t>每负偏离一项扣</w:t>
            </w:r>
            <w:r>
              <w:rPr>
                <w:rFonts w:hint="eastAsia" w:ascii="黑体" w:hAnsi="黑体" w:eastAsia="黑体" w:cs="黑体"/>
                <w:color w:val="auto"/>
                <w:sz w:val="24"/>
                <w:szCs w:val="24"/>
                <w:highlight w:val="none"/>
                <w:lang w:val="en-US" w:eastAsia="zh-CN"/>
              </w:rPr>
              <w:t>1.2</w:t>
            </w:r>
            <w:r>
              <w:rPr>
                <w:rFonts w:hint="eastAsia" w:ascii="黑体" w:hAnsi="黑体" w:eastAsia="黑体" w:cs="黑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.一般技术指标（未标注“★或▲”号</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共计89项</w:t>
            </w:r>
            <w:r>
              <w:rPr>
                <w:rFonts w:hint="eastAsia" w:ascii="黑体" w:hAnsi="黑体" w:eastAsia="黑体" w:cs="黑体"/>
                <w:color w:val="auto"/>
                <w:sz w:val="24"/>
                <w:szCs w:val="24"/>
                <w:highlight w:val="none"/>
              </w:rPr>
              <w:t>）偏离扣</w:t>
            </w:r>
            <w:r>
              <w:rPr>
                <w:rFonts w:hint="eastAsia" w:ascii="黑体" w:hAnsi="黑体" w:eastAsia="黑体" w:cs="黑体"/>
                <w:color w:val="auto"/>
                <w:sz w:val="24"/>
                <w:szCs w:val="24"/>
                <w:highlight w:val="none"/>
                <w:lang w:val="en-US" w:eastAsia="zh-CN"/>
              </w:rPr>
              <w:t>0.25</w:t>
            </w:r>
            <w:r>
              <w:rPr>
                <w:rFonts w:hint="eastAsia" w:ascii="黑体" w:hAnsi="黑体" w:eastAsia="黑体" w:cs="黑体"/>
                <w:color w:val="auto"/>
                <w:sz w:val="24"/>
                <w:szCs w:val="24"/>
                <w:highlight w:val="none"/>
              </w:rPr>
              <w:t>分，扣完为止。</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lang w:val="en" w:eastAsia="zh-CN"/>
              </w:rPr>
            </w:pPr>
            <w:r>
              <w:rPr>
                <w:rFonts w:hint="eastAsia" w:ascii="黑体" w:hAnsi="黑体" w:eastAsia="黑体" w:cs="黑体"/>
                <w:color w:val="auto"/>
                <w:sz w:val="24"/>
                <w:szCs w:val="24"/>
                <w:highlight w:val="none"/>
              </w:rPr>
              <w:t>备</w:t>
            </w:r>
            <w:r>
              <w:rPr>
                <w:rFonts w:hint="eastAsia" w:ascii="黑体" w:hAnsi="黑体" w:eastAsia="黑体" w:cs="黑体"/>
                <w:b/>
                <w:bCs/>
                <w:color w:val="auto"/>
                <w:sz w:val="24"/>
                <w:szCs w:val="24"/>
                <w:highlight w:val="none"/>
                <w:u w:val="none"/>
              </w:rPr>
              <w:t>注：【凡标有最低一级序号的指标项即为一项技术条款，无论是否隶属于上一级编号】</w:t>
            </w:r>
            <w:r>
              <w:rPr>
                <w:rFonts w:hint="eastAsia" w:ascii="黑体" w:hAnsi="黑体" w:eastAsia="黑体" w:cs="黑体"/>
                <w:b/>
                <w:bCs/>
                <w:color w:val="auto"/>
                <w:sz w:val="24"/>
                <w:szCs w:val="24"/>
                <w:highlight w:val="none"/>
                <w:u w:val="none"/>
                <w:lang w:val="en-US" w:eastAsia="zh-CN"/>
              </w:rPr>
              <w:t>1.</w:t>
            </w:r>
            <w:r>
              <w:rPr>
                <w:rFonts w:hint="eastAsia" w:ascii="黑体" w:hAnsi="黑体" w:eastAsia="黑体" w:cs="黑体"/>
                <w:b w:val="0"/>
                <w:bCs w:val="0"/>
                <w:color w:val="auto"/>
                <w:sz w:val="24"/>
                <w:szCs w:val="24"/>
                <w:highlight w:val="none"/>
                <w:u w:val="none"/>
              </w:rPr>
              <w:t>技术指标以投标人提供的《技术偏离表》为准，若《技术偏离表》与投标文件中提供的检验报告或产品技术规格书等证明材料不一致的，以检验报告或产品技术规格书等证明材料为准</w:t>
            </w:r>
            <w:r>
              <w:rPr>
                <w:rFonts w:hint="eastAsia" w:ascii="黑体" w:hAnsi="黑体" w:eastAsia="黑体" w:cs="黑体"/>
                <w:b w:val="0"/>
                <w:bCs w:val="0"/>
                <w:color w:val="auto"/>
                <w:sz w:val="24"/>
                <w:szCs w:val="24"/>
                <w:highlight w:val="none"/>
                <w:u w:val="none"/>
                <w:lang w:eastAsia="zh-CN"/>
              </w:rPr>
              <w:t>；</w:t>
            </w:r>
            <w:r>
              <w:rPr>
                <w:rFonts w:hint="eastAsia" w:ascii="黑体" w:hAnsi="黑体" w:eastAsia="黑体" w:cs="黑体"/>
                <w:b w:val="0"/>
                <w:bCs w:val="0"/>
                <w:color w:val="auto"/>
                <w:sz w:val="24"/>
                <w:szCs w:val="24"/>
                <w:highlight w:val="none"/>
                <w:u w:val="none"/>
                <w:lang w:val="en-US" w:eastAsia="zh-CN"/>
              </w:rPr>
              <w:t>2.</w:t>
            </w:r>
            <w:r>
              <w:rPr>
                <w:rFonts w:hint="eastAsia" w:ascii="黑体" w:hAnsi="黑体" w:eastAsia="黑体" w:cs="黑体"/>
                <w:b w:val="0"/>
                <w:bCs w:val="0"/>
                <w:color w:val="auto"/>
                <w:sz w:val="24"/>
                <w:szCs w:val="24"/>
                <w:highlight w:val="none"/>
                <w:u w:val="none"/>
              </w:rPr>
              <w:t>技术响应情况须完整填列在《技术和服务要求响应表》中,未填列或漏项的，评标委员会将按照不利于投标人的判定进行评审（即认定为负偏离）</w:t>
            </w:r>
            <w:r>
              <w:rPr>
                <w:rFonts w:hint="eastAsia" w:ascii="黑体" w:hAnsi="黑体" w:eastAsia="黑体" w:cs="黑体"/>
                <w:b w:val="0"/>
                <w:bCs w:val="0"/>
                <w:color w:val="auto"/>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 w:eastAsia="zh-CN"/>
              </w:rPr>
              <w:t>4G</w:t>
            </w:r>
            <w:r>
              <w:rPr>
                <w:rFonts w:hint="eastAsia" w:ascii="黑体" w:hAnsi="黑体" w:eastAsia="黑体" w:cs="黑体"/>
                <w:color w:val="auto"/>
                <w:sz w:val="24"/>
                <w:szCs w:val="24"/>
                <w:highlight w:val="none"/>
                <w:lang w:eastAsia="zh-CN"/>
              </w:rPr>
              <w:t>物联网卡</w:t>
            </w:r>
          </w:p>
        </w:tc>
        <w:tc>
          <w:tcPr>
            <w:tcW w:w="76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3分</w:t>
            </w:r>
          </w:p>
        </w:tc>
        <w:tc>
          <w:tcPr>
            <w:tcW w:w="8094"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strike w:val="0"/>
                <w:dstrike w:val="0"/>
                <w:color w:val="auto"/>
                <w:kern w:val="0"/>
                <w:sz w:val="24"/>
                <w:szCs w:val="24"/>
                <w:highlight w:val="none"/>
                <w:lang w:val="en-US" w:eastAsia="zh-CN"/>
              </w:rPr>
            </w:pPr>
            <w:r>
              <w:rPr>
                <w:rFonts w:hint="eastAsia" w:ascii="黑体" w:hAnsi="黑体" w:eastAsia="黑体" w:cs="黑体"/>
                <w:strike w:val="0"/>
                <w:dstrike w:val="0"/>
                <w:color w:val="auto"/>
                <w:kern w:val="0"/>
                <w:sz w:val="24"/>
                <w:szCs w:val="24"/>
                <w:highlight w:val="none"/>
                <w:lang w:val="en-US" w:eastAsia="zh-CN"/>
              </w:rPr>
              <w:t>1.音视频年流量包40G/月及以上得1.5分，30G/月至39G/月得1分，20G/月-29G/月至得0.5分，其余不得分。</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strike w:val="0"/>
                <w:dstrike w:val="0"/>
                <w:color w:val="auto"/>
                <w:kern w:val="0"/>
                <w:sz w:val="24"/>
                <w:szCs w:val="24"/>
                <w:highlight w:val="none"/>
                <w:lang w:val="en-US" w:eastAsia="zh-CN"/>
              </w:rPr>
              <w:t>2</w:t>
            </w:r>
            <w:r>
              <w:rPr>
                <w:rFonts w:hint="eastAsia" w:ascii="黑体" w:hAnsi="黑体" w:eastAsia="黑体" w:cs="黑体"/>
                <w:strike w:val="0"/>
                <w:dstrike w:val="0"/>
                <w:color w:val="auto"/>
                <w:sz w:val="24"/>
                <w:szCs w:val="24"/>
                <w:highlight w:val="none"/>
                <w:lang w:val="en-US" w:eastAsia="zh-CN"/>
              </w:rPr>
              <w:t>.</w:t>
            </w:r>
            <w:r>
              <w:rPr>
                <w:rFonts w:hint="eastAsia" w:ascii="黑体" w:hAnsi="黑体" w:eastAsia="黑体" w:cs="黑体"/>
                <w:strike w:val="0"/>
                <w:dstrike w:val="0"/>
                <w:color w:val="auto"/>
                <w:kern w:val="0"/>
                <w:sz w:val="24"/>
                <w:szCs w:val="24"/>
                <w:highlight w:val="none"/>
                <w:lang w:val="en-US" w:eastAsia="zh-CN"/>
              </w:rPr>
              <w:t>音视频流量服务5年及以上得1.5分，4年得1分，3年得0.5分，其余不得分。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服务方案/技术要求整体评价</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20" w:firstLineChars="50"/>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tc>
        <w:tc>
          <w:tcPr>
            <w:tcW w:w="8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货物运输配送及安装调试方案：评标委员会根据各供应商编制的项目技术方案的周密性、合理性、针对性等内容参照以下评审要素逐一进行综合评价，将以下每条评审要素划分为优、良、差三个档次，按照档次进行酌情打分（如缺项该分项得0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评审要素如下：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1）方案内容全面详实，切合实际，具有很强的针对性，整体思路科学合理，可操作性较强的为优，得</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2）方案内容有些许瑕疵但基本切合实际，针对性一般，整体思路一般，可操作性一般的为良，得2分；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strike w:val="0"/>
                <w:dstrike w:val="0"/>
                <w:color w:val="auto"/>
                <w:kern w:val="0"/>
                <w:sz w:val="24"/>
                <w:szCs w:val="24"/>
                <w:highlight w:val="none"/>
                <w:lang w:val="en-US" w:eastAsia="zh-CN"/>
              </w:rPr>
            </w:pPr>
            <w:r>
              <w:rPr>
                <w:rFonts w:hint="eastAsia" w:ascii="黑体" w:hAnsi="黑体" w:eastAsia="黑体" w:cs="黑体"/>
                <w:color w:val="auto"/>
                <w:sz w:val="24"/>
                <w:szCs w:val="24"/>
                <w:highlight w:val="none"/>
              </w:rPr>
              <w:t>3）方案内容案简单空洞，无针对性，整体思路较差，不具备一定的可操作的为差，得</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项目计划（进度）、质量控制、安全保障方案</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20" w:firstLineChars="50"/>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tc>
        <w:tc>
          <w:tcPr>
            <w:tcW w:w="8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项目计划（进度）、质量控制、安全保障方案</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评标委员会根据各供应商编制的项目技术方案的周密性、合理性、针对性等内容参照以下评审要素逐一进行综合评价，将以下每条评审要素划分为优、良、差三个档次，按照档次进行酌情打分（如缺项该分项得0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1）方案内容全面详实，切合实际，具有很强的针对性，整体思路科学合理，可操作性较强的为优，得</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2）方案内容有些许瑕疵但基本切合实际，针对性一般，整体思路一般，可操作性一般的为良，得2分；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strike w:val="0"/>
                <w:dstrike w:val="0"/>
                <w:color w:val="auto"/>
                <w:kern w:val="0"/>
                <w:sz w:val="24"/>
                <w:szCs w:val="24"/>
                <w:highlight w:val="none"/>
                <w:lang w:val="en-US" w:eastAsia="zh-CN"/>
              </w:rPr>
            </w:pPr>
            <w:r>
              <w:rPr>
                <w:rFonts w:hint="eastAsia" w:ascii="黑体" w:hAnsi="黑体" w:eastAsia="黑体" w:cs="黑体"/>
                <w:color w:val="auto"/>
                <w:sz w:val="24"/>
                <w:szCs w:val="24"/>
                <w:highlight w:val="none"/>
              </w:rPr>
              <w:t>3）方案内容案简单空洞，无针对性，整体思路较差，不具备一定的可操作的为差，得</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屏幕</w:t>
            </w:r>
          </w:p>
        </w:tc>
        <w:tc>
          <w:tcPr>
            <w:tcW w:w="765" w:type="dxa"/>
            <w:noWrap w:val="0"/>
            <w:vAlign w:val="center"/>
          </w:tcPr>
          <w:p>
            <w:pPr>
              <w:pStyle w:val="9"/>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分</w:t>
            </w:r>
          </w:p>
        </w:tc>
        <w:tc>
          <w:tcPr>
            <w:tcW w:w="8094"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lang w:eastAsia="zh-CN" w:bidi="ar"/>
              </w:rPr>
            </w:pPr>
            <w:r>
              <w:rPr>
                <w:rFonts w:hint="eastAsia" w:ascii="黑体" w:hAnsi="黑体" w:eastAsia="黑体" w:cs="黑体"/>
                <w:color w:val="auto"/>
                <w:kern w:val="0"/>
                <w:sz w:val="24"/>
                <w:szCs w:val="24"/>
                <w:highlight w:val="none"/>
                <w:lang w:val="en-US" w:eastAsia="zh-CN"/>
              </w:rPr>
              <w:t>序号4“</w:t>
            </w:r>
            <w:r>
              <w:rPr>
                <w:rFonts w:hint="eastAsia" w:ascii="黑体" w:hAnsi="黑体" w:eastAsia="黑体" w:cs="黑体"/>
                <w:color w:val="auto"/>
                <w:kern w:val="0"/>
                <w:sz w:val="24"/>
                <w:szCs w:val="24"/>
                <w:highlight w:val="none"/>
              </w:rPr>
              <w:t>屏幕（</w:t>
            </w:r>
            <w:r>
              <w:rPr>
                <w:rFonts w:hint="eastAsia" w:ascii="黑体" w:hAnsi="黑体" w:eastAsia="黑体" w:cs="黑体"/>
                <w:color w:val="auto"/>
                <w:sz w:val="24"/>
                <w:szCs w:val="24"/>
                <w:highlight w:val="none"/>
              </w:rPr>
              <w:t>17.352m</w:t>
            </w:r>
            <w:r>
              <w:rPr>
                <w:rFonts w:hint="eastAsia" w:ascii="黑体" w:hAnsi="黑体" w:eastAsia="黑体" w:cs="黑体"/>
                <w:color w:val="auto"/>
                <w:sz w:val="24"/>
                <w:szCs w:val="24"/>
                <w:highlight w:val="none"/>
                <w:vertAlign w:val="superscript"/>
              </w:rPr>
              <w:t>2</w:t>
            </w:r>
            <w:r>
              <w:rPr>
                <w:rFonts w:hint="eastAsia" w:ascii="黑体" w:hAnsi="黑体" w:eastAsia="黑体" w:cs="黑体"/>
                <w:color w:val="auto"/>
                <w:kern w:val="0"/>
                <w:sz w:val="24"/>
                <w:szCs w:val="24"/>
                <w:highlight w:val="none"/>
              </w:rPr>
              <w:t>）</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lang w:val="en-US" w:eastAsia="zh-CN" w:bidi="ar"/>
              </w:rPr>
              <w:t>1.15 mm</w:t>
            </w:r>
            <w:r>
              <w:rPr>
                <w:rFonts w:hint="default" w:ascii="Arial" w:hAnsi="Arial" w:eastAsia="黑体" w:cs="Arial"/>
                <w:color w:val="auto"/>
                <w:kern w:val="0"/>
                <w:sz w:val="24"/>
                <w:szCs w:val="24"/>
                <w:highlight w:val="none"/>
                <w:lang w:val="en-US" w:eastAsia="zh-CN" w:bidi="ar"/>
              </w:rPr>
              <w:t>≤</w:t>
            </w:r>
            <w:r>
              <w:rPr>
                <w:rFonts w:hint="eastAsia" w:ascii="黑体" w:hAnsi="黑体" w:eastAsia="黑体" w:cs="黑体"/>
                <w:color w:val="auto"/>
                <w:kern w:val="0"/>
                <w:sz w:val="24"/>
                <w:szCs w:val="24"/>
                <w:highlight w:val="none"/>
                <w:lang w:val="en-US" w:eastAsia="zh-CN" w:bidi="ar"/>
              </w:rPr>
              <w:t>像素点间距</w:t>
            </w:r>
            <w:r>
              <w:rPr>
                <w:rFonts w:hint="default" w:ascii="Arial" w:hAnsi="Arial" w:eastAsia="黑体" w:cs="Arial"/>
                <w:color w:val="auto"/>
                <w:kern w:val="0"/>
                <w:sz w:val="24"/>
                <w:szCs w:val="24"/>
                <w:highlight w:val="none"/>
                <w:lang w:val="en-US" w:eastAsia="zh-CN" w:bidi="ar"/>
              </w:rPr>
              <w:t>≤</w:t>
            </w:r>
            <w:r>
              <w:rPr>
                <w:rFonts w:hint="eastAsia" w:ascii="黑体" w:hAnsi="黑体" w:eastAsia="黑体" w:cs="黑体"/>
                <w:color w:val="auto"/>
                <w:kern w:val="0"/>
                <w:sz w:val="24"/>
                <w:szCs w:val="24"/>
                <w:highlight w:val="none"/>
                <w:lang w:val="en-US" w:eastAsia="zh-CN" w:bidi="ar"/>
              </w:rPr>
              <w:t xml:space="preserve"> 1.2 mm的得1分，像素点间距&lt;1.15mm的得2分。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99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lang w:bidi="ar"/>
              </w:rPr>
            </w:pPr>
            <w:r>
              <w:rPr>
                <w:rFonts w:hint="eastAsia" w:ascii="黑体" w:hAnsi="黑体" w:eastAsia="黑体" w:cs="黑体"/>
                <w:color w:val="auto"/>
                <w:sz w:val="24"/>
                <w:szCs w:val="24"/>
                <w:highlight w:val="none"/>
              </w:rPr>
              <w:t>固定基站</w:t>
            </w:r>
          </w:p>
        </w:tc>
        <w:tc>
          <w:tcPr>
            <w:tcW w:w="765" w:type="dxa"/>
            <w:noWrap w:val="0"/>
            <w:vAlign w:val="center"/>
          </w:tcPr>
          <w:p>
            <w:pPr>
              <w:pStyle w:val="9"/>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bidi="ar"/>
              </w:rPr>
              <w:t>1</w:t>
            </w:r>
            <w:r>
              <w:rPr>
                <w:rFonts w:hint="eastAsia" w:ascii="黑体" w:hAnsi="黑体" w:eastAsia="黑体" w:cs="黑体"/>
                <w:color w:val="auto"/>
                <w:sz w:val="24"/>
                <w:szCs w:val="24"/>
                <w:highlight w:val="none"/>
                <w:lang w:bidi="ar"/>
              </w:rPr>
              <w:t>分</w:t>
            </w:r>
          </w:p>
        </w:tc>
        <w:tc>
          <w:tcPr>
            <w:tcW w:w="8094"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lang w:eastAsia="zh-CN" w:bidi="ar"/>
              </w:rPr>
            </w:pPr>
            <w:r>
              <w:rPr>
                <w:rFonts w:hint="eastAsia" w:ascii="黑体" w:hAnsi="黑体" w:eastAsia="黑体" w:cs="黑体"/>
                <w:color w:val="auto"/>
                <w:kern w:val="0"/>
                <w:sz w:val="24"/>
                <w:szCs w:val="24"/>
                <w:highlight w:val="none"/>
                <w:lang w:bidi="ar"/>
              </w:rPr>
              <w:t>LTE基站：故障弱化模式：支持当基站与核心网断链或核心网发生故障时，系统进入故障弱化模式，终端不会丢失群组信息，且终端可执行群组语音呼叫、群组视频呼叫、语音电话及视频电话，当恢复与核心网连接时，系统自动退出故障弱化模式恢复正常业务</w:t>
            </w:r>
            <w:r>
              <w:rPr>
                <w:rFonts w:hint="eastAsia" w:ascii="黑体" w:hAnsi="黑体" w:eastAsia="黑体" w:cs="黑体"/>
                <w:color w:val="auto"/>
                <w:kern w:val="0"/>
                <w:sz w:val="24"/>
                <w:szCs w:val="24"/>
                <w:highlight w:val="none"/>
                <w:lang w:eastAsia="zh-CN" w:bidi="ar"/>
              </w:rPr>
              <w:t>。</w:t>
            </w:r>
          </w:p>
        </w:tc>
      </w:tr>
    </w:tbl>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商务项（F3×A3）满分为</w:t>
      </w:r>
      <w:r>
        <w:rPr>
          <w:rFonts w:hint="eastAsia" w:ascii="黑体" w:hAnsi="黑体" w:eastAsia="黑体" w:cs="黑体"/>
          <w:b/>
          <w:bCs/>
          <w:color w:val="auto"/>
          <w:sz w:val="24"/>
          <w:szCs w:val="24"/>
          <w:highlight w:val="none"/>
          <w:lang w:val="en-US" w:eastAsia="zh-CN"/>
        </w:rPr>
        <w:t>13</w:t>
      </w:r>
      <w:r>
        <w:rPr>
          <w:rFonts w:hint="eastAsia" w:ascii="黑体" w:hAnsi="黑体" w:eastAsia="黑体" w:cs="黑体"/>
          <w:b/>
          <w:bCs/>
          <w:color w:val="auto"/>
          <w:sz w:val="24"/>
          <w:szCs w:val="24"/>
          <w:highlight w:val="none"/>
        </w:rPr>
        <w:t>.00分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780"/>
        <w:gridCol w:w="8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8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kern w:val="0"/>
                <w:sz w:val="24"/>
                <w:szCs w:val="24"/>
                <w:highlight w:val="none"/>
                <w:lang w:bidi="ar"/>
              </w:rPr>
            </w:pPr>
            <w:r>
              <w:rPr>
                <w:rFonts w:hint="eastAsia" w:ascii="黑体" w:hAnsi="黑体" w:eastAsia="黑体" w:cs="黑体"/>
                <w:b/>
                <w:color w:val="auto"/>
                <w:sz w:val="24"/>
                <w:szCs w:val="24"/>
                <w:highlight w:val="none"/>
                <w:lang w:val="en-US" w:eastAsia="zh-CN"/>
              </w:rPr>
              <w:t>项目</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kern w:val="0"/>
                <w:sz w:val="24"/>
                <w:szCs w:val="24"/>
                <w:highlight w:val="none"/>
                <w:lang w:bidi="ar"/>
              </w:rPr>
            </w:pPr>
            <w:r>
              <w:rPr>
                <w:rFonts w:hint="eastAsia" w:ascii="黑体" w:hAnsi="黑体" w:eastAsia="黑体" w:cs="黑体"/>
                <w:b/>
                <w:color w:val="auto"/>
                <w:sz w:val="24"/>
                <w:szCs w:val="24"/>
                <w:highlight w:val="none"/>
              </w:rPr>
              <w:t>分</w:t>
            </w:r>
            <w:r>
              <w:rPr>
                <w:rFonts w:hint="eastAsia" w:ascii="黑体" w:hAnsi="黑体" w:eastAsia="黑体" w:cs="黑体"/>
                <w:b/>
                <w:color w:val="auto"/>
                <w:sz w:val="24"/>
                <w:szCs w:val="24"/>
                <w:highlight w:val="none"/>
                <w:lang w:val="en-US" w:eastAsia="zh-CN"/>
              </w:rPr>
              <w:t>值</w:t>
            </w:r>
          </w:p>
        </w:tc>
        <w:tc>
          <w:tcPr>
            <w:tcW w:w="809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kern w:val="0"/>
                <w:sz w:val="24"/>
                <w:szCs w:val="24"/>
                <w:highlight w:val="none"/>
                <w:lang w:bidi="ar"/>
              </w:rPr>
            </w:pPr>
            <w:r>
              <w:rPr>
                <w:rFonts w:hint="eastAsia" w:ascii="黑体" w:hAnsi="黑体" w:eastAsia="黑体" w:cs="黑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8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lang w:bidi="ar"/>
              </w:rPr>
            </w:pPr>
            <w:r>
              <w:rPr>
                <w:rFonts w:hint="eastAsia" w:ascii="黑体" w:hAnsi="黑体" w:eastAsia="黑体" w:cs="黑体"/>
                <w:color w:val="auto"/>
                <w:kern w:val="0"/>
                <w:sz w:val="24"/>
                <w:szCs w:val="24"/>
                <w:highlight w:val="none"/>
                <w:lang w:bidi="ar"/>
              </w:rPr>
              <w:t>制造商实力</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lang w:bidi="ar"/>
              </w:rPr>
            </w:pPr>
            <w:r>
              <w:rPr>
                <w:rFonts w:hint="eastAsia" w:ascii="黑体" w:hAnsi="黑体" w:eastAsia="黑体" w:cs="黑体"/>
                <w:color w:val="auto"/>
                <w:kern w:val="0"/>
                <w:sz w:val="24"/>
                <w:szCs w:val="24"/>
                <w:highlight w:val="none"/>
                <w:lang w:val="en-US" w:eastAsia="zh-CN" w:bidi="ar"/>
              </w:rPr>
              <w:t>3</w:t>
            </w:r>
            <w:r>
              <w:rPr>
                <w:rFonts w:hint="eastAsia" w:ascii="黑体" w:hAnsi="黑体" w:eastAsia="黑体" w:cs="黑体"/>
                <w:color w:val="auto"/>
                <w:kern w:val="0"/>
                <w:sz w:val="24"/>
                <w:szCs w:val="24"/>
                <w:highlight w:val="none"/>
                <w:lang w:bidi="ar"/>
              </w:rPr>
              <w:t>分</w:t>
            </w:r>
          </w:p>
        </w:tc>
        <w:tc>
          <w:tcPr>
            <w:tcW w:w="8094"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lang w:bidi="ar"/>
              </w:rPr>
            </w:pPr>
            <w:r>
              <w:rPr>
                <w:rFonts w:hint="eastAsia" w:ascii="黑体" w:hAnsi="黑体" w:eastAsia="黑体" w:cs="黑体"/>
                <w:color w:val="auto"/>
                <w:kern w:val="0"/>
                <w:sz w:val="24"/>
                <w:szCs w:val="24"/>
                <w:highlight w:val="none"/>
                <w:lang w:bidi="ar"/>
              </w:rPr>
              <w:t>为保证设备的兼容性，</w:t>
            </w:r>
            <w:r>
              <w:rPr>
                <w:rFonts w:hint="eastAsia" w:ascii="黑体" w:hAnsi="黑体" w:eastAsia="黑体" w:cs="黑体"/>
                <w:color w:val="auto"/>
                <w:sz w:val="24"/>
                <w:szCs w:val="24"/>
                <w:highlight w:val="none"/>
              </w:rPr>
              <w:t>投标人所投固定基站：</w:t>
            </w:r>
            <w:r>
              <w:rPr>
                <w:rFonts w:hint="eastAsia" w:ascii="黑体" w:hAnsi="黑体" w:eastAsia="黑体" w:cs="黑体"/>
                <w:color w:val="auto"/>
                <w:kern w:val="0"/>
                <w:sz w:val="24"/>
                <w:szCs w:val="24"/>
                <w:highlight w:val="none"/>
                <w:lang w:bidi="ar"/>
              </w:rPr>
              <w:t>窄带基站、MESH宽带自组网基站、LTE基站为同一品牌，完全满足得</w:t>
            </w:r>
            <w:r>
              <w:rPr>
                <w:rFonts w:hint="eastAsia" w:ascii="黑体" w:hAnsi="黑体" w:eastAsia="黑体" w:cs="黑体"/>
                <w:color w:val="auto"/>
                <w:kern w:val="0"/>
                <w:sz w:val="24"/>
                <w:szCs w:val="24"/>
                <w:highlight w:val="none"/>
                <w:lang w:val="en-US" w:eastAsia="zh-CN" w:bidi="ar"/>
              </w:rPr>
              <w:t>3</w:t>
            </w:r>
            <w:r>
              <w:rPr>
                <w:rFonts w:hint="eastAsia" w:ascii="黑体" w:hAnsi="黑体" w:eastAsia="黑体" w:cs="黑体"/>
                <w:color w:val="auto"/>
                <w:kern w:val="0"/>
                <w:sz w:val="24"/>
                <w:szCs w:val="24"/>
                <w:highlight w:val="none"/>
                <w:lang w:bidi="ar"/>
              </w:rPr>
              <w:t>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kern w:val="0"/>
                <w:sz w:val="24"/>
                <w:szCs w:val="24"/>
                <w:highlight w:val="none"/>
                <w:lang w:bidi="ar"/>
              </w:rPr>
            </w:pPr>
            <w:r>
              <w:rPr>
                <w:rFonts w:hint="eastAsia" w:ascii="黑体" w:hAnsi="黑体" w:eastAsia="黑体" w:cs="黑体"/>
                <w:color w:val="auto"/>
                <w:kern w:val="2"/>
                <w:sz w:val="24"/>
                <w:szCs w:val="24"/>
                <w:highlight w:val="none"/>
                <w:lang w:val="en-US" w:eastAsia="zh-CN" w:bidi="ar-SA"/>
              </w:rPr>
              <w:t>类似业绩</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kern w:val="0"/>
                <w:sz w:val="24"/>
                <w:szCs w:val="24"/>
                <w:highlight w:val="none"/>
                <w:lang w:bidi="ar"/>
              </w:rPr>
            </w:pPr>
            <w:r>
              <w:rPr>
                <w:rFonts w:hint="eastAsia" w:ascii="黑体" w:hAnsi="黑体" w:eastAsia="黑体" w:cs="黑体"/>
                <w:color w:val="auto"/>
                <w:kern w:val="2"/>
                <w:sz w:val="24"/>
                <w:szCs w:val="24"/>
                <w:highlight w:val="none"/>
                <w:lang w:val="en-US" w:eastAsia="zh-CN" w:bidi="ar-SA"/>
              </w:rPr>
              <w:t>3分</w:t>
            </w:r>
          </w:p>
        </w:tc>
        <w:tc>
          <w:tcPr>
            <w:tcW w:w="8094" w:type="dxa"/>
            <w:noWrap w:val="0"/>
            <w:vAlign w:val="center"/>
          </w:tcPr>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 2020 年以来有相关类似项目业绩，每提供 1 个</w:t>
            </w:r>
            <w:r>
              <w:rPr>
                <w:rFonts w:hint="eastAsia" w:ascii="黑体" w:hAnsi="黑体" w:eastAsia="黑体" w:cs="黑体"/>
                <w:color w:val="auto"/>
                <w:sz w:val="24"/>
                <w:szCs w:val="24"/>
                <w:highlight w:val="none"/>
                <w:lang w:val="en-US" w:eastAsia="zh-CN"/>
              </w:rPr>
              <w:t>得</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分，最多</w:t>
            </w:r>
            <w:r>
              <w:rPr>
                <w:rFonts w:hint="eastAsia" w:ascii="黑体" w:hAnsi="黑体" w:eastAsia="黑体" w:cs="黑体"/>
                <w:color w:val="auto"/>
                <w:sz w:val="24"/>
                <w:szCs w:val="24"/>
                <w:highlight w:val="none"/>
                <w:lang w:val="en-US" w:eastAsia="zh-CN"/>
              </w:rPr>
              <w:t>得3</w:t>
            </w:r>
            <w:r>
              <w:rPr>
                <w:rFonts w:hint="eastAsia" w:ascii="黑体" w:hAnsi="黑体" w:eastAsia="黑体" w:cs="黑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0"/>
                <w:sz w:val="24"/>
                <w:szCs w:val="24"/>
                <w:highlight w:val="none"/>
                <w:lang w:bidi="ar"/>
              </w:rPr>
            </w:pPr>
            <w:r>
              <w:rPr>
                <w:rFonts w:hint="eastAsia" w:ascii="黑体" w:hAnsi="黑体" w:eastAsia="黑体" w:cs="黑体"/>
                <w:b/>
                <w:color w:val="auto"/>
                <w:sz w:val="24"/>
                <w:szCs w:val="24"/>
                <w:highlight w:val="none"/>
                <w:lang w:val="en-US" w:eastAsia="zh-CN"/>
              </w:rPr>
              <w:t>投标人</w:t>
            </w:r>
            <w:r>
              <w:rPr>
                <w:rFonts w:hint="eastAsia" w:ascii="黑体" w:hAnsi="黑体" w:eastAsia="黑体" w:cs="黑体"/>
                <w:b/>
                <w:color w:val="auto"/>
                <w:sz w:val="24"/>
                <w:szCs w:val="24"/>
                <w:highlight w:val="none"/>
              </w:rPr>
              <w:t>需提供该业绩项目以下资料有效复印件：①中标（成交）公告（提供相关网站中标（成交）公告的下载网页及其网址）；②中标（成交）通知书复印件； ③采购合同文本复印件；④能够证明该业绩项目已经采购人验收合格的相关证明文件复印件；备注：上述4项缺一不可，</w:t>
            </w:r>
            <w:r>
              <w:rPr>
                <w:rFonts w:hint="eastAsia" w:ascii="黑体" w:hAnsi="黑体" w:eastAsia="黑体" w:cs="黑体"/>
                <w:b/>
                <w:color w:val="auto"/>
                <w:sz w:val="24"/>
                <w:szCs w:val="24"/>
                <w:highlight w:val="none"/>
                <w:lang w:val="en-US" w:eastAsia="zh-CN"/>
              </w:rPr>
              <w:t>投标人</w:t>
            </w:r>
            <w:r>
              <w:rPr>
                <w:rFonts w:hint="eastAsia" w:ascii="黑体" w:hAnsi="黑体" w:eastAsia="黑体" w:cs="黑体"/>
                <w:b/>
                <w:color w:val="auto"/>
                <w:sz w:val="24"/>
                <w:szCs w:val="24"/>
                <w:highlight w:val="none"/>
              </w:rPr>
              <w:t>如未按照以上要求提供该项目业绩完整资料的，评标委员会对该项业绩将不予采信。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80" w:type="dxa"/>
            <w:noWrap w:val="0"/>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售后服务</w:t>
            </w:r>
          </w:p>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方案</w:t>
            </w:r>
          </w:p>
          <w:p>
            <w:pPr>
              <w:spacing w:line="360" w:lineRule="auto"/>
              <w:jc w:val="center"/>
              <w:rPr>
                <w:rFonts w:hint="eastAsia" w:ascii="黑体" w:hAnsi="黑体" w:eastAsia="黑体" w:cs="黑体"/>
                <w:color w:val="auto"/>
                <w:kern w:val="0"/>
                <w:sz w:val="24"/>
                <w:szCs w:val="24"/>
                <w:highlight w:val="none"/>
                <w:lang w:bidi="ar"/>
              </w:rPr>
            </w:pPr>
          </w:p>
        </w:tc>
        <w:tc>
          <w:tcPr>
            <w:tcW w:w="780" w:type="dxa"/>
            <w:noWrap w:val="0"/>
            <w:vAlign w:val="center"/>
          </w:tcPr>
          <w:p>
            <w:pPr>
              <w:spacing w:line="360" w:lineRule="auto"/>
              <w:jc w:val="center"/>
              <w:rPr>
                <w:rFonts w:hint="eastAsia" w:ascii="黑体" w:hAnsi="黑体" w:eastAsia="黑体" w:cs="黑体"/>
                <w:color w:val="auto"/>
                <w:kern w:val="0"/>
                <w:sz w:val="24"/>
                <w:szCs w:val="24"/>
                <w:highlight w:val="none"/>
                <w:lang w:bidi="ar"/>
              </w:rPr>
            </w:pPr>
            <w:r>
              <w:rPr>
                <w:rFonts w:hint="eastAsia" w:ascii="黑体" w:hAnsi="黑体" w:eastAsia="黑体" w:cs="黑体"/>
                <w:color w:val="auto"/>
                <w:sz w:val="24"/>
                <w:szCs w:val="24"/>
                <w:highlight w:val="none"/>
                <w:lang w:val="en-US" w:eastAsia="zh-CN"/>
              </w:rPr>
              <w:t>3分</w:t>
            </w:r>
          </w:p>
        </w:tc>
        <w:tc>
          <w:tcPr>
            <w:tcW w:w="8094" w:type="dxa"/>
            <w:noWrap w:val="0"/>
            <w:vAlign w:val="center"/>
          </w:tcPr>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根据投标人针对本项目提出的售后服务方案包含但不限于售后服务承诺、产品售后质量保障措施、售后服务管理体系、售后服务响应和问题解决时间等方面内容，按以下量化指标和对应分值进行评审计分：</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1、有完善的售后服务体系，2、有专业服务团队，3、具体的响应时间，4、质量保障方案，5、故障出现解决方案。</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对照上列 5 项量化指标，每项按：</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①方案内容详细，针对性强、合理性高、可行性高，能完全满足并优于采购人要求的，计</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②方案内容一般，针对性一般、合理性、可行性一般，基本满足采购人要求的，基本符合计</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分；</w:t>
            </w:r>
          </w:p>
          <w:p>
            <w:pP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③方案内容较粗略，针对性、合理性、可行性较差的，欠符合计</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分的对应分值进行评分。</w:t>
            </w:r>
          </w:p>
          <w:p>
            <w:pPr>
              <w:spacing w:line="360" w:lineRule="auto"/>
              <w:jc w:val="left"/>
              <w:rPr>
                <w:rFonts w:hint="eastAsia" w:ascii="黑体" w:hAnsi="黑体" w:eastAsia="黑体" w:cs="黑体"/>
                <w:color w:val="auto"/>
                <w:kern w:val="0"/>
                <w:sz w:val="24"/>
                <w:szCs w:val="24"/>
                <w:highlight w:val="none"/>
                <w:lang w:bidi="ar"/>
              </w:rPr>
            </w:pPr>
            <w:r>
              <w:rPr>
                <w:rFonts w:hint="eastAsia" w:ascii="黑体" w:hAnsi="黑体" w:eastAsia="黑体" w:cs="黑体"/>
                <w:color w:val="auto"/>
                <w:sz w:val="24"/>
                <w:szCs w:val="24"/>
                <w:highlight w:val="none"/>
              </w:rPr>
              <w:t>注：本项“售后服务方案”评审因素汇总得分最多计</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分，未提供方案的不计分。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kern w:val="0"/>
                <w:sz w:val="24"/>
                <w:szCs w:val="24"/>
                <w:highlight w:val="none"/>
                <w:lang w:eastAsia="zh-CN" w:bidi="ar"/>
              </w:rPr>
            </w:pPr>
            <w:r>
              <w:rPr>
                <w:rFonts w:hint="eastAsia" w:ascii="黑体" w:hAnsi="黑体" w:eastAsia="黑体" w:cs="黑体"/>
                <w:color w:val="auto"/>
                <w:kern w:val="0"/>
                <w:sz w:val="24"/>
                <w:szCs w:val="24"/>
                <w:highlight w:val="none"/>
                <w:lang w:bidi="ar"/>
              </w:rPr>
              <w:t>投标人</w:t>
            </w:r>
            <w:r>
              <w:rPr>
                <w:rFonts w:hint="eastAsia" w:ascii="黑体" w:hAnsi="黑体" w:eastAsia="黑体" w:cs="黑体"/>
                <w:color w:val="auto"/>
                <w:kern w:val="0"/>
                <w:sz w:val="24"/>
                <w:szCs w:val="24"/>
                <w:highlight w:val="none"/>
                <w:lang w:eastAsia="zh-CN" w:bidi="ar"/>
              </w:rPr>
              <w:t>人员投入</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黑体" w:hAnsi="黑体" w:eastAsia="黑体" w:cs="黑体"/>
                <w:color w:val="auto"/>
                <w:kern w:val="0"/>
                <w:sz w:val="24"/>
                <w:szCs w:val="24"/>
                <w:highlight w:val="none"/>
                <w:lang w:val="en-US" w:eastAsia="zh-CN" w:bidi="ar"/>
              </w:rPr>
            </w:pPr>
            <w:r>
              <w:rPr>
                <w:rFonts w:hint="eastAsia" w:ascii="黑体" w:hAnsi="黑体" w:eastAsia="黑体" w:cs="黑体"/>
                <w:color w:val="auto"/>
                <w:kern w:val="0"/>
                <w:sz w:val="24"/>
                <w:szCs w:val="24"/>
                <w:highlight w:val="none"/>
                <w:lang w:val="en-US" w:eastAsia="zh-CN" w:bidi="ar"/>
              </w:rPr>
              <w:t>2分</w:t>
            </w:r>
          </w:p>
        </w:tc>
        <w:tc>
          <w:tcPr>
            <w:tcW w:w="8094"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投标人拟投入本项目的项目经理满足以下条件：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项目经理须具备信息系统项目管理师、系统规划与管理师</w:t>
            </w:r>
            <w:r>
              <w:rPr>
                <w:rFonts w:hint="eastAsia" w:ascii="黑体" w:hAnsi="黑体" w:eastAsia="黑体" w:cs="黑体"/>
                <w:color w:val="auto"/>
                <w:sz w:val="24"/>
                <w:szCs w:val="24"/>
                <w:highlight w:val="none"/>
                <w:lang w:val="en-US" w:eastAsia="zh-CN"/>
              </w:rPr>
              <w:t>证书，每提供一本得1分，本项最多得2分（投标人须提供相关证书复印件及近半年内由投标人单位为上述人员连续缴纳不少于3个月社保缴纳证明材料复印件，并加盖投标人公章，未按上述要求提供不得分）。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lang w:bidi="ar"/>
              </w:rPr>
            </w:pPr>
            <w:r>
              <w:rPr>
                <w:rFonts w:hint="eastAsia" w:ascii="黑体" w:hAnsi="黑体" w:eastAsia="黑体" w:cs="黑体"/>
                <w:color w:val="auto"/>
                <w:kern w:val="0"/>
                <w:sz w:val="24"/>
                <w:szCs w:val="24"/>
                <w:highlight w:val="none"/>
                <w:lang w:bidi="ar"/>
              </w:rPr>
              <w:t>投标人实力</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lang w:bidi="ar"/>
              </w:rPr>
            </w:pPr>
            <w:r>
              <w:rPr>
                <w:rFonts w:hint="eastAsia" w:ascii="黑体" w:hAnsi="黑体" w:eastAsia="黑体" w:cs="黑体"/>
                <w:color w:val="auto"/>
                <w:kern w:val="0"/>
                <w:sz w:val="24"/>
                <w:szCs w:val="24"/>
                <w:highlight w:val="none"/>
                <w:lang w:val="en-US" w:eastAsia="zh-CN" w:bidi="ar"/>
              </w:rPr>
              <w:t>1</w:t>
            </w:r>
            <w:r>
              <w:rPr>
                <w:rFonts w:hint="eastAsia" w:ascii="黑体" w:hAnsi="黑体" w:eastAsia="黑体" w:cs="黑体"/>
                <w:color w:val="auto"/>
                <w:kern w:val="0"/>
                <w:sz w:val="24"/>
                <w:szCs w:val="24"/>
                <w:highlight w:val="none"/>
                <w:lang w:bidi="ar"/>
              </w:rPr>
              <w:t>分</w:t>
            </w:r>
          </w:p>
        </w:tc>
        <w:tc>
          <w:tcPr>
            <w:tcW w:w="8094"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投标人具备信息安全服务资质认证证书（信息系统安全运维）一级</w:t>
            </w:r>
            <w:r>
              <w:rPr>
                <w:rFonts w:hint="eastAsia" w:ascii="黑体" w:hAnsi="黑体" w:eastAsia="黑体" w:cs="黑体"/>
                <w:color w:val="auto"/>
                <w:sz w:val="24"/>
                <w:szCs w:val="24"/>
                <w:highlight w:val="none"/>
                <w:lang w:val="en-US" w:eastAsia="zh-CN"/>
              </w:rPr>
              <w:t>的</w:t>
            </w:r>
            <w:r>
              <w:rPr>
                <w:rFonts w:hint="eastAsia" w:ascii="黑体" w:hAnsi="黑体" w:eastAsia="黑体" w:cs="黑体"/>
                <w:color w:val="auto"/>
                <w:sz w:val="24"/>
                <w:szCs w:val="24"/>
                <w:highlight w:val="none"/>
              </w:rPr>
              <w:t>得</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w:t>
            </w:r>
            <w:r>
              <w:rPr>
                <w:rFonts w:hint="eastAsia" w:ascii="黑体" w:hAnsi="黑体" w:eastAsia="黑体" w:cs="黑体"/>
                <w:color w:val="auto"/>
                <w:sz w:val="24"/>
                <w:szCs w:val="24"/>
                <w:highlight w:val="none"/>
                <w:lang w:val="en-US" w:eastAsia="zh-CN"/>
              </w:rPr>
              <w:t>本项最多得2分</w:t>
            </w:r>
            <w:r>
              <w:rPr>
                <w:rFonts w:hint="eastAsia" w:ascii="黑体" w:hAnsi="黑体" w:eastAsia="黑体" w:cs="黑体"/>
                <w:color w:val="auto"/>
                <w:sz w:val="24"/>
                <w:szCs w:val="24"/>
                <w:highlight w:val="none"/>
              </w:rPr>
              <w:t>。（提供有效证书复印件并加盖投标人公章，否则不得分）。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lang w:bidi="ar"/>
              </w:rPr>
            </w:pPr>
            <w:r>
              <w:rPr>
                <w:rFonts w:hint="eastAsia" w:ascii="黑体" w:hAnsi="黑体" w:eastAsia="黑体" w:cs="黑体"/>
                <w:color w:val="auto"/>
                <w:kern w:val="0"/>
                <w:sz w:val="24"/>
                <w:szCs w:val="24"/>
                <w:highlight w:val="none"/>
                <w:lang w:bidi="ar"/>
              </w:rPr>
              <w:t>投标人实力</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lang w:bidi="ar"/>
              </w:rPr>
            </w:pPr>
            <w:r>
              <w:rPr>
                <w:rFonts w:hint="eastAsia" w:ascii="黑体" w:hAnsi="黑体" w:eastAsia="黑体" w:cs="黑体"/>
                <w:color w:val="auto"/>
                <w:kern w:val="0"/>
                <w:sz w:val="24"/>
                <w:szCs w:val="24"/>
                <w:highlight w:val="none"/>
                <w:lang w:val="en-US" w:eastAsia="zh-CN" w:bidi="ar"/>
              </w:rPr>
              <w:t>1</w:t>
            </w:r>
            <w:r>
              <w:rPr>
                <w:rFonts w:hint="eastAsia" w:ascii="黑体" w:hAnsi="黑体" w:eastAsia="黑体" w:cs="黑体"/>
                <w:color w:val="auto"/>
                <w:kern w:val="0"/>
                <w:sz w:val="24"/>
                <w:szCs w:val="24"/>
                <w:highlight w:val="none"/>
                <w:lang w:bidi="ar"/>
              </w:rPr>
              <w:t>分</w:t>
            </w:r>
          </w:p>
        </w:tc>
        <w:tc>
          <w:tcPr>
            <w:tcW w:w="8094"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投标人具备ITSS信息技术服务标准符合性证书（运行维护）2级或以上得</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分，满分</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分。（提供有效证书复印件并加盖投标人公章，否则不得分）</w:t>
            </w:r>
          </w:p>
        </w:tc>
      </w:tr>
    </w:tbl>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加分项（F4×A4）</w:t>
      </w:r>
    </w:p>
    <w:tbl>
      <w:tblPr>
        <w:tblStyle w:val="5"/>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7"/>
        <w:gridCol w:w="900"/>
        <w:gridCol w:w="79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w:t>
            </w:r>
          </w:p>
        </w:tc>
        <w:tc>
          <w:tcPr>
            <w:tcW w:w="45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分值</w:t>
            </w:r>
          </w:p>
        </w:tc>
        <w:tc>
          <w:tcPr>
            <w:tcW w:w="4045" w:type="pct"/>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节能、环境标志产品</w:t>
            </w:r>
          </w:p>
        </w:tc>
        <w:tc>
          <w:tcPr>
            <w:tcW w:w="457" w:type="pct"/>
            <w:vAlign w:val="center"/>
          </w:tcPr>
          <w:p>
            <w:pPr>
              <w:pStyle w:val="8"/>
              <w:spacing w:line="360" w:lineRule="auto"/>
              <w:jc w:val="center"/>
              <w:rPr>
                <w:rFonts w:hint="default" w:ascii="黑体" w:hAnsi="黑体" w:eastAsia="黑体" w:cs="黑体"/>
                <w:color w:val="auto"/>
                <w:sz w:val="24"/>
                <w:szCs w:val="24"/>
                <w:highlight w:val="none"/>
                <w:lang w:val="en-US"/>
              </w:rPr>
            </w:pPr>
            <w:r>
              <w:rPr>
                <w:rFonts w:hint="eastAsia" w:ascii="黑体" w:hAnsi="黑体" w:eastAsia="黑体" w:cs="黑体"/>
                <w:color w:val="auto"/>
                <w:sz w:val="24"/>
                <w:szCs w:val="24"/>
                <w:highlight w:val="none"/>
                <w:lang w:val="en-US" w:eastAsia="zh-CN"/>
              </w:rPr>
              <w:t>6.96</w:t>
            </w:r>
          </w:p>
        </w:tc>
        <w:tc>
          <w:tcPr>
            <w:tcW w:w="7971" w:type="dxa"/>
            <w:vAlign w:val="top"/>
          </w:tcPr>
          <w:p>
            <w:pPr>
              <w:pStyle w:val="8"/>
              <w:jc w:val="both"/>
              <w:rPr>
                <w:rFonts w:hint="eastAsia" w:ascii="黑体" w:hAnsi="黑体" w:eastAsia="黑体" w:cs="黑体"/>
                <w:color w:val="auto"/>
                <w:sz w:val="24"/>
                <w:szCs w:val="24"/>
                <w:highlight w:val="none"/>
              </w:rPr>
            </w:pPr>
            <w:r>
              <w:rPr>
                <w:rFonts w:hint="eastAsia" w:ascii="黑体" w:hAnsi="黑体" w:eastAsia="黑体" w:cs="黑体"/>
                <w:sz w:val="24"/>
                <w:szCs w:val="24"/>
                <w:highlight w:val="none"/>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（4）中标候选人排列规则顺序如下：</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a.按照评标总得分（FA）由高到低顺序排列。</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b.评标总得分（FA）相同的，按照评标价（即价格扣除后的投标报价）由低到高顺序排列。</w:t>
      </w: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c.评标总得分（FA）且评标价（即价格扣除后的投标报价）相同的并列。</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8、其他规定</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8.1评标应全程保密且不得透露给任一投标人或与评标工作无关的人员。</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8.2评标将进行全程实时录音录像，录音录像资料随采购文件一并存档。</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8.4其他：</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1"/>
        <w:rPr>
          <w:rFonts w:hint="eastAsia" w:ascii="黑体" w:hAnsi="黑体" w:eastAsia="黑体" w:cs="黑体"/>
          <w:color w:val="auto"/>
          <w:sz w:val="32"/>
          <w:szCs w:val="32"/>
          <w:highlight w:val="none"/>
        </w:rPr>
      </w:pPr>
      <w:r>
        <w:rPr>
          <w:rFonts w:hint="eastAsia" w:ascii="黑体" w:hAnsi="黑体" w:eastAsia="黑体" w:cs="黑体"/>
          <w:b/>
          <w:color w:val="auto"/>
          <w:sz w:val="32"/>
          <w:szCs w:val="32"/>
          <w:highlight w:val="none"/>
        </w:rPr>
        <w:t>第五章 招标内容及要求</w:t>
      </w:r>
    </w:p>
    <w:p>
      <w:pPr>
        <w:pStyle w:val="8"/>
        <w:jc w:val="both"/>
        <w:outlineLvl w:val="2"/>
        <w:rPr>
          <w:rFonts w:hint="eastAsia" w:ascii="黑体" w:hAnsi="黑体" w:eastAsia="黑体" w:cs="黑体"/>
          <w:b/>
          <w:color w:val="auto"/>
          <w:sz w:val="28"/>
          <w:highlight w:val="none"/>
        </w:rPr>
      </w:pPr>
    </w:p>
    <w:p>
      <w:pPr>
        <w:pStyle w:val="8"/>
        <w:spacing w:line="360" w:lineRule="auto"/>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一、项目概况（采购标的）</w:t>
      </w:r>
    </w:p>
    <w:p>
      <w:pPr>
        <w:pStyle w:val="8"/>
        <w:spacing w:line="360" w:lineRule="auto"/>
        <w:ind w:firstLine="480"/>
        <w:jc w:val="both"/>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一</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项目内容</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建设地点主要涉及三明市本级、三元区、沙县区、建宁县、泰宁县。通过项目建设，完善三明市（市、县）两级现有森林防灭火物资装备，适度引进和应用新型的防灭火机具，提升地方森林消防专业队伍的现代化、信息化、专业化水平，有效提高森林火灾防灭火战斗力，把森林火灾控制在萌芽状态，杜绝重特大森林火灾发生，把森林火灾造成的损害降到最低限度，确保全市森林火灾受害率稳定控制在0.8‰以下。本项目主要为加强森林消防队伍防灭火能力建设，购置森林防灭火设备。</w:t>
      </w:r>
    </w:p>
    <w:p>
      <w:pPr>
        <w:pStyle w:val="8"/>
        <w:spacing w:line="360" w:lineRule="auto"/>
        <w:ind w:firstLine="482"/>
        <w:jc w:val="both"/>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合同包一：</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扑火机具类设备：购置背负式风力灭火机140台、背负式灭火水枪180把、背负式水冷循环泵20台、大型灭火无人机1架、电动灭火水枪12把、高压便携式消防水泵36台、固定式消防水箱32个、手抬机动水泵5台、移动消防水桶18个、油锯185台、中型高压森林消防水泵2台。</w:t>
      </w:r>
    </w:p>
    <w:p>
      <w:pPr>
        <w:pStyle w:val="8"/>
        <w:spacing w:line="360" w:lineRule="auto"/>
        <w:ind w:firstLine="482"/>
        <w:jc w:val="both"/>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合同包二：</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安全防护类：购置灭火阻燃服套装960套、作训服1000套。</w:t>
      </w:r>
    </w:p>
    <w:p>
      <w:pPr>
        <w:pStyle w:val="8"/>
        <w:spacing w:line="360" w:lineRule="auto"/>
        <w:ind w:firstLine="482"/>
        <w:jc w:val="both"/>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合同包三：</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通讯指挥器材类设备：购置望远镜40架、对讲机132台、卫星背负站3台、小型无人机6架、中型无人机2架。</w:t>
      </w:r>
    </w:p>
    <w:p>
      <w:pPr>
        <w:pStyle w:val="8"/>
        <w:spacing w:line="360" w:lineRule="auto"/>
        <w:ind w:firstLine="482"/>
        <w:jc w:val="both"/>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合同包四：</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森林消防车辆类：购置消防水车3辆、应急指挥车4辆、运兵车1辆、消防机具运输车1辆。</w:t>
      </w:r>
    </w:p>
    <w:p>
      <w:pPr>
        <w:pStyle w:val="8"/>
        <w:spacing w:line="360" w:lineRule="auto"/>
        <w:ind w:firstLine="482"/>
        <w:jc w:val="both"/>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合同包五：</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无线图传设备：购置火场视频采集器（手持单兵）200台、布控球11台、三防平板13台、屏幕（17.352m</w:t>
      </w:r>
      <w:r>
        <w:rPr>
          <w:rFonts w:hint="eastAsia" w:ascii="黑体" w:hAnsi="黑体" w:eastAsia="黑体" w:cs="黑体"/>
          <w:color w:val="auto"/>
          <w:sz w:val="24"/>
          <w:szCs w:val="24"/>
          <w:highlight w:val="none"/>
          <w:vertAlign w:val="superscript"/>
        </w:rPr>
        <w:t>2</w:t>
      </w:r>
      <w:r>
        <w:rPr>
          <w:rFonts w:hint="eastAsia" w:ascii="黑体" w:hAnsi="黑体" w:eastAsia="黑体" w:cs="黑体"/>
          <w:color w:val="auto"/>
          <w:sz w:val="24"/>
          <w:szCs w:val="24"/>
          <w:highlight w:val="none"/>
        </w:rPr>
        <w:t>）1台、固定基站1套、移动打印机1台、业务系统专用终端（PC）6台、业务系统专用便携终端6台。</w:t>
      </w:r>
    </w:p>
    <w:p>
      <w:pPr>
        <w:pStyle w:val="8"/>
        <w:ind w:firstLine="481" w:firstLineChars="200"/>
        <w:jc w:val="both"/>
        <w:outlineLvl w:val="2"/>
        <w:rPr>
          <w:rFonts w:hint="eastAsia" w:ascii="黑体" w:hAnsi="黑体" w:eastAsia="黑体" w:cs="黑体"/>
          <w:b/>
          <w:color w:val="auto"/>
          <w:sz w:val="24"/>
          <w:szCs w:val="24"/>
          <w:highlight w:val="none"/>
          <w:lang w:eastAsia="zh-CN"/>
        </w:rPr>
      </w:pPr>
    </w:p>
    <w:p>
      <w:pPr>
        <w:spacing w:line="360" w:lineRule="auto"/>
        <w:ind w:firstLine="481" w:firstLineChars="200"/>
        <w:rPr>
          <w:rFonts w:hint="eastAsia" w:ascii="黑体" w:hAnsi="黑体" w:eastAsia="黑体" w:cs="黑体"/>
          <w:color w:val="auto"/>
          <w:sz w:val="24"/>
          <w:szCs w:val="24"/>
          <w:highlight w:val="none"/>
        </w:rPr>
      </w:pPr>
      <w:r>
        <w:rPr>
          <w:rFonts w:hint="eastAsia" w:ascii="黑体" w:hAnsi="黑体" w:eastAsia="黑体" w:cs="黑体"/>
          <w:b/>
          <w:bCs w:val="0"/>
          <w:color w:val="auto"/>
          <w:sz w:val="24"/>
          <w:szCs w:val="24"/>
          <w:highlight w:val="none"/>
          <w:lang w:eastAsia="zh-CN"/>
        </w:rPr>
        <w:t>（</w:t>
      </w:r>
      <w:r>
        <w:rPr>
          <w:rFonts w:hint="eastAsia" w:ascii="黑体" w:hAnsi="黑体" w:eastAsia="黑体" w:cs="黑体"/>
          <w:b/>
          <w:bCs w:val="0"/>
          <w:color w:val="auto"/>
          <w:sz w:val="24"/>
          <w:szCs w:val="24"/>
          <w:highlight w:val="none"/>
          <w:lang w:val="en-US" w:eastAsia="zh-CN"/>
        </w:rPr>
        <w:t>二</w:t>
      </w:r>
      <w:r>
        <w:rPr>
          <w:rFonts w:hint="eastAsia" w:ascii="黑体" w:hAnsi="黑体" w:eastAsia="黑体" w:cs="黑体"/>
          <w:b/>
          <w:bCs w:val="0"/>
          <w:color w:val="auto"/>
          <w:sz w:val="24"/>
          <w:szCs w:val="24"/>
          <w:highlight w:val="none"/>
          <w:lang w:eastAsia="zh-CN"/>
        </w:rPr>
        <w:t>）</w:t>
      </w:r>
      <w:r>
        <w:rPr>
          <w:rFonts w:hint="eastAsia" w:ascii="黑体" w:hAnsi="黑体" w:eastAsia="黑体" w:cs="黑体"/>
          <w:color w:val="auto"/>
          <w:sz w:val="24"/>
          <w:szCs w:val="24"/>
          <w:highlight w:val="none"/>
        </w:rPr>
        <w:t>应急通信系统现状</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应急指挥窄带无线通信网是基于370MHz应急专用无线电频率，采用 PDT（Professional Digital Trunking，专业数字集群）体制建设的数字集群网。前期，三明市应急局已于《三明市应急管理综合应用平台（二期）及配套工程建设项目》中，建设完成应急指挥窄带无线通信网，具体如下：</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（1）现有应急通信车一辆（省政府派驻，交由市应急管理局日常使用），该车包括静中通卫星通信设备、10个手持终端，1.4G宽带集群车载系统。</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（2）现场装备配置2个4G布控球。</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（3）三明市应急管理综合应用平台（二期）及配套工程建设项目中已建设内容：</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1）1套应急通信调度系统。可实现语音集群融合调度、视频监控融合调度、短信调度、传真调度、数字录音调度、GIS融合调度、录音录像调度、通信调度互联互通对接等功能。</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1套VSAT卫星通信固定站，接入部级中心站进行管理。可通过卫星链路加入部省应急指挥中心视频会议系统，实现与应急管理部的视频会商功能；通过卫星链路实现与应急管理部卫星总值班室的语音电话系统实现语音电话的互联互通；可建立基于卫星通信信道的IP数据传输通道，实现远程数据的传输和交换功能。</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3）3台天通手持卫星电话，实现与应急管理部天通统一接入服务系统数据对接；增强复杂条件下应急通信网络搭建和突发事件现场指挥能力。</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1套应急窄带无线通信网。采用PDT数字集群同频同播技术，建设一套两载波集群基站，配置1套同播控制器，20部手持终端、3部车载终端满足应急指挥语音通信需要。固定基站通过IP专线链路先接入本属地的集群同播控制器，组成地市的同播子网。</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具体布局详见图3。</w:t>
      </w:r>
    </w:p>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drawing>
          <wp:inline distT="0" distB="0" distL="0" distR="0">
            <wp:extent cx="4593590" cy="4186555"/>
            <wp:effectExtent l="0" t="0" r="0" b="444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595023" cy="4187621"/>
                    </a:xfrm>
                    <a:prstGeom prst="rect">
                      <a:avLst/>
                    </a:prstGeom>
                    <a:noFill/>
                  </pic:spPr>
                </pic:pic>
              </a:graphicData>
            </a:graphic>
          </wp:inline>
        </w:drawing>
      </w:r>
    </w:p>
    <w:p>
      <w:pPr>
        <w:spacing w:line="360" w:lineRule="auto"/>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图3 应急通信总体架构图</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5、LED大屏显示系统现状</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明市应急管理局五楼会议室筑面积约62平方米，现有98寸液晶电视1台（分辨率3840*2160）、2套视频会议终端设备（含1台摄像机）、录播一体机1台、安监专网MCU服务器1台、音频扩音系统1套，拟将98寸液晶电视替换为LED大屏；六楼值班室建筑面积约30平米，已完成网络线路布局、已备有1套视频会议终端设备（含1台摄像机），暂未安装和部署LED大屏显示系统及其他配套设备，拟新建LED大屏。</w:t>
      </w:r>
    </w:p>
    <w:p>
      <w:pPr>
        <w:pStyle w:val="8"/>
        <w:ind w:firstLine="481" w:firstLineChars="200"/>
        <w:jc w:val="both"/>
        <w:outlineLvl w:val="2"/>
        <w:rPr>
          <w:rFonts w:hint="eastAsia" w:ascii="黑体" w:hAnsi="黑体" w:eastAsia="黑体" w:cs="黑体"/>
          <w:b/>
          <w:color w:val="auto"/>
          <w:sz w:val="24"/>
          <w:szCs w:val="24"/>
          <w:highlight w:val="none"/>
          <w:lang w:eastAsia="zh-CN"/>
        </w:rPr>
      </w:pPr>
    </w:p>
    <w:p>
      <w:pPr>
        <w:pStyle w:val="8"/>
        <w:numPr>
          <w:ilvl w:val="0"/>
          <w:numId w:val="0"/>
        </w:numPr>
        <w:shd w:val="clear"/>
        <w:spacing w:line="360" w:lineRule="auto"/>
        <w:jc w:val="both"/>
        <w:outlineLvl w:val="2"/>
        <w:rPr>
          <w:rFonts w:hint="eastAsia"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（三）各合同包产品清单</w:t>
      </w:r>
    </w:p>
    <w:tbl>
      <w:tblPr>
        <w:tblStyle w:val="5"/>
        <w:tblW w:w="46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3518"/>
        <w:gridCol w:w="1297"/>
        <w:gridCol w:w="93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序号</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名称</w:t>
            </w:r>
          </w:p>
        </w:tc>
        <w:tc>
          <w:tcPr>
            <w:tcW w:w="710"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单位</w:t>
            </w:r>
          </w:p>
        </w:tc>
        <w:tc>
          <w:tcPr>
            <w:tcW w:w="512"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数量</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合同包一</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扑火机具类</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24"/>
                <w:szCs w:val="24"/>
                <w:highlight w:val="none"/>
              </w:rPr>
            </w:pP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631</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571.47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背负式风力灭火机</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140</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背负式灭火水枪</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180</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背负式水冷循环泵</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20</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大型灭火无人机</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5</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电动灭火水枪</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6</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高压便携式消防水泵</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36</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7</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固定式消防水箱</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32</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8</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手抬机动水泵</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9</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移动消防水桶</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10</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油锯</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185</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11</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中型高压森林消防水泵</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合同包二</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安全防护类</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24"/>
                <w:szCs w:val="24"/>
                <w:highlight w:val="none"/>
              </w:rPr>
            </w:pP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1960</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灭火阻燃服套装</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套</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960</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作训服</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套</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1000</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合同包三</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通讯指挥器材类</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24"/>
                <w:szCs w:val="24"/>
                <w:highlight w:val="none"/>
              </w:rPr>
            </w:pP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183</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286.6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1</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望远镜</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架</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40</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val="en-US" w:eastAsia="zh-CN"/>
              </w:rPr>
              <w:t>2</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对讲机</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132</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val="en-US" w:eastAsia="zh-CN"/>
              </w:rPr>
              <w:t>3</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卫星背负站</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val="en-US" w:eastAsia="zh-CN"/>
              </w:rPr>
              <w:t>4</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小型无人机</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val="en-US" w:eastAsia="zh-CN"/>
              </w:rPr>
              <w:t>5</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中型无人机</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bCs/>
                <w:color w:val="auto"/>
                <w:kern w:val="0"/>
                <w:sz w:val="24"/>
                <w:szCs w:val="24"/>
                <w:highlight w:val="none"/>
                <w:lang w:eastAsia="zh-CN"/>
              </w:rPr>
            </w:pPr>
            <w:r>
              <w:rPr>
                <w:rFonts w:hint="eastAsia" w:ascii="黑体" w:hAnsi="黑体" w:eastAsia="黑体" w:cs="黑体"/>
                <w:b/>
                <w:bCs/>
                <w:color w:val="auto"/>
                <w:kern w:val="0"/>
                <w:sz w:val="24"/>
                <w:szCs w:val="24"/>
                <w:highlight w:val="none"/>
              </w:rPr>
              <w:t>合同包</w:t>
            </w:r>
            <w:r>
              <w:rPr>
                <w:rFonts w:hint="eastAsia" w:ascii="黑体" w:hAnsi="黑体" w:eastAsia="黑体" w:cs="黑体"/>
                <w:b/>
                <w:bCs/>
                <w:color w:val="auto"/>
                <w:kern w:val="0"/>
                <w:sz w:val="24"/>
                <w:szCs w:val="24"/>
                <w:highlight w:val="none"/>
                <w:lang w:eastAsia="zh-CN"/>
              </w:rPr>
              <w:t>四</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森林消防车辆类</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24"/>
                <w:szCs w:val="24"/>
                <w:highlight w:val="none"/>
              </w:rPr>
            </w:pP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9</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消防水车</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辆</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应急指挥车</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辆</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运兵车</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辆</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rPr>
              <w:t>4</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Cs/>
                <w:color w:val="auto"/>
                <w:kern w:val="0"/>
                <w:sz w:val="24"/>
                <w:szCs w:val="24"/>
                <w:highlight w:val="none"/>
              </w:rPr>
            </w:pPr>
            <w:r>
              <w:rPr>
                <w:rFonts w:hint="eastAsia" w:ascii="黑体" w:hAnsi="黑体" w:eastAsia="黑体" w:cs="黑体"/>
                <w:color w:val="auto"/>
                <w:kern w:val="0"/>
                <w:sz w:val="24"/>
                <w:szCs w:val="24"/>
                <w:highlight w:val="none"/>
              </w:rPr>
              <w:t>消防机具运输车</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辆</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bCs/>
                <w:color w:val="auto"/>
                <w:kern w:val="0"/>
                <w:sz w:val="24"/>
                <w:szCs w:val="24"/>
                <w:highlight w:val="none"/>
                <w:lang w:eastAsia="zh-CN"/>
              </w:rPr>
            </w:pPr>
            <w:r>
              <w:rPr>
                <w:rFonts w:hint="eastAsia" w:ascii="黑体" w:hAnsi="黑体" w:eastAsia="黑体" w:cs="黑体"/>
                <w:b/>
                <w:bCs/>
                <w:color w:val="auto"/>
                <w:kern w:val="0"/>
                <w:sz w:val="24"/>
                <w:szCs w:val="24"/>
                <w:highlight w:val="none"/>
              </w:rPr>
              <w:t>合同包</w:t>
            </w:r>
            <w:r>
              <w:rPr>
                <w:rFonts w:hint="eastAsia" w:ascii="黑体" w:hAnsi="黑体" w:eastAsia="黑体" w:cs="黑体"/>
                <w:b/>
                <w:bCs/>
                <w:color w:val="auto"/>
                <w:kern w:val="0"/>
                <w:sz w:val="24"/>
                <w:szCs w:val="24"/>
                <w:highlight w:val="none"/>
                <w:lang w:eastAsia="zh-CN"/>
              </w:rPr>
              <w:t>五</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无线图传设备</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24"/>
                <w:szCs w:val="24"/>
                <w:highlight w:val="none"/>
              </w:rPr>
            </w:pP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239</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266.4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火场视频采集器（手持单兵）</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200</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布控球</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三防平板</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屏幕（17.352m</w:t>
            </w:r>
            <w:r>
              <w:rPr>
                <w:rFonts w:hint="eastAsia" w:ascii="黑体" w:hAnsi="黑体" w:eastAsia="黑体" w:cs="黑体"/>
                <w:color w:val="auto"/>
                <w:kern w:val="0"/>
                <w:sz w:val="24"/>
                <w:szCs w:val="24"/>
                <w:highlight w:val="none"/>
                <w:vertAlign w:val="superscript"/>
              </w:rPr>
              <w:t>2</w:t>
            </w:r>
            <w:r>
              <w:rPr>
                <w:rFonts w:hint="eastAsia" w:ascii="黑体" w:hAnsi="黑体" w:eastAsia="黑体" w:cs="黑体"/>
                <w:color w:val="auto"/>
                <w:kern w:val="0"/>
                <w:sz w:val="24"/>
                <w:szCs w:val="24"/>
                <w:highlight w:val="none"/>
              </w:rPr>
              <w:t>）</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5</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固定基站</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套</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6</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移动打印机</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7</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业务系统专用终端（PC）</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8</w:t>
            </w:r>
          </w:p>
        </w:tc>
        <w:tc>
          <w:tcPr>
            <w:tcW w:w="1926" w:type="pct"/>
            <w:noWrap/>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业务系统专用便携终端（PC）</w:t>
            </w:r>
          </w:p>
        </w:tc>
        <w:tc>
          <w:tcPr>
            <w:tcW w:w="71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台</w:t>
            </w:r>
          </w:p>
        </w:tc>
        <w:tc>
          <w:tcPr>
            <w:tcW w:w="51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94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rPr>
            </w:pPr>
          </w:p>
        </w:tc>
      </w:tr>
    </w:tbl>
    <w:p>
      <w:pPr>
        <w:pStyle w:val="8"/>
        <w:spacing w:line="360" w:lineRule="auto"/>
        <w:jc w:val="both"/>
        <w:outlineLvl w:val="2"/>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lang w:val="en-US" w:eastAsia="zh-CN"/>
        </w:rPr>
        <w:t>备注：</w:t>
      </w:r>
      <w:r>
        <w:rPr>
          <w:rFonts w:hint="eastAsia" w:ascii="黑体" w:hAnsi="黑体" w:eastAsia="黑体" w:cs="黑体"/>
          <w:b/>
          <w:color w:val="auto"/>
          <w:sz w:val="24"/>
          <w:szCs w:val="24"/>
          <w:highlight w:val="none"/>
          <w:u w:val="double"/>
          <w:lang w:val="en-US" w:eastAsia="zh-CN"/>
        </w:rPr>
        <w:t>各</w:t>
      </w:r>
      <w:r>
        <w:rPr>
          <w:rFonts w:hint="eastAsia" w:ascii="黑体" w:hAnsi="黑体" w:eastAsia="黑体" w:cs="黑体"/>
          <w:b/>
          <w:color w:val="auto"/>
          <w:sz w:val="24"/>
          <w:szCs w:val="24"/>
          <w:highlight w:val="none"/>
          <w:u w:val="double"/>
        </w:rPr>
        <w:t>投标人</w:t>
      </w:r>
      <w:r>
        <w:rPr>
          <w:rFonts w:hint="eastAsia" w:ascii="黑体" w:hAnsi="黑体" w:eastAsia="黑体" w:cs="黑体"/>
          <w:b/>
          <w:color w:val="auto"/>
          <w:sz w:val="24"/>
          <w:szCs w:val="24"/>
          <w:highlight w:val="none"/>
          <w:u w:val="double"/>
          <w:lang w:val="en-US" w:eastAsia="zh-CN"/>
        </w:rPr>
        <w:t>根据所投合同包按以上各合同包所列</w:t>
      </w:r>
      <w:r>
        <w:rPr>
          <w:rFonts w:hint="eastAsia" w:ascii="黑体" w:hAnsi="黑体" w:eastAsia="黑体" w:cs="黑体"/>
          <w:b/>
          <w:color w:val="auto"/>
          <w:sz w:val="24"/>
          <w:szCs w:val="24"/>
          <w:highlight w:val="none"/>
          <w:u w:val="double"/>
        </w:rPr>
        <w:t>序号</w:t>
      </w:r>
      <w:r>
        <w:rPr>
          <w:rFonts w:hint="eastAsia" w:ascii="黑体" w:hAnsi="黑体" w:eastAsia="黑体" w:cs="黑体"/>
          <w:b/>
          <w:color w:val="auto"/>
          <w:sz w:val="24"/>
          <w:szCs w:val="24"/>
          <w:highlight w:val="none"/>
          <w:u w:val="double"/>
          <w:lang w:val="en-US" w:eastAsia="zh-CN"/>
        </w:rPr>
        <w:t>进行</w:t>
      </w:r>
      <w:r>
        <w:rPr>
          <w:rFonts w:hint="eastAsia" w:ascii="黑体" w:hAnsi="黑体" w:eastAsia="黑体" w:cs="黑体"/>
          <w:b/>
          <w:color w:val="auto"/>
          <w:sz w:val="24"/>
          <w:szCs w:val="24"/>
          <w:highlight w:val="none"/>
          <w:u w:val="double"/>
        </w:rPr>
        <w:t>分项报价</w:t>
      </w:r>
      <w:r>
        <w:rPr>
          <w:rFonts w:hint="eastAsia" w:ascii="黑体" w:hAnsi="黑体" w:eastAsia="黑体" w:cs="黑体"/>
          <w:b/>
          <w:color w:val="auto"/>
          <w:sz w:val="24"/>
          <w:szCs w:val="24"/>
          <w:highlight w:val="none"/>
          <w:u w:val="double"/>
          <w:lang w:eastAsia="zh-CN"/>
        </w:rPr>
        <w:t>，</w:t>
      </w:r>
      <w:r>
        <w:rPr>
          <w:rFonts w:hint="eastAsia" w:ascii="黑体" w:hAnsi="黑体" w:eastAsia="黑体" w:cs="黑体"/>
          <w:b/>
          <w:color w:val="auto"/>
          <w:sz w:val="24"/>
          <w:szCs w:val="24"/>
          <w:highlight w:val="none"/>
          <w:u w:val="double"/>
          <w:lang w:val="en-US" w:eastAsia="zh-CN"/>
        </w:rPr>
        <w:t>否则报价无效。</w:t>
      </w:r>
    </w:p>
    <w:p>
      <w:pPr>
        <w:pStyle w:val="8"/>
        <w:jc w:val="both"/>
        <w:outlineLvl w:val="2"/>
        <w:rPr>
          <w:rFonts w:hint="eastAsia" w:ascii="黑体" w:hAnsi="黑体" w:eastAsia="黑体" w:cs="黑体"/>
          <w:b/>
          <w:color w:val="auto"/>
          <w:sz w:val="24"/>
          <w:szCs w:val="24"/>
          <w:highlight w:val="none"/>
        </w:rPr>
      </w:pPr>
    </w:p>
    <w:p>
      <w:pPr>
        <w:pStyle w:val="8"/>
        <w:spacing w:line="360" w:lineRule="auto"/>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二、技术和服务要求（以“★”标示的内容为不允许负偏离的实质性要求）</w:t>
      </w:r>
    </w:p>
    <w:p>
      <w:pPr>
        <w:pStyle w:val="8"/>
        <w:numPr>
          <w:ilvl w:val="0"/>
          <w:numId w:val="0"/>
        </w:numPr>
        <w:spacing w:line="360" w:lineRule="auto"/>
        <w:jc w:val="both"/>
        <w:outlineLvl w:val="2"/>
        <w:rPr>
          <w:rFonts w:hint="eastAsia"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合同包一：扑火机具类</w:t>
      </w:r>
    </w:p>
    <w:tbl>
      <w:tblPr>
        <w:tblStyle w:val="5"/>
        <w:tblW w:w="4910" w:type="pct"/>
        <w:jc w:val="center"/>
        <w:tblLayout w:type="fixed"/>
        <w:tblCellMar>
          <w:top w:w="0" w:type="dxa"/>
          <w:left w:w="108" w:type="dxa"/>
          <w:bottom w:w="0" w:type="dxa"/>
          <w:right w:w="108" w:type="dxa"/>
        </w:tblCellMar>
      </w:tblPr>
      <w:tblGrid>
        <w:gridCol w:w="750"/>
        <w:gridCol w:w="1576"/>
        <w:gridCol w:w="7351"/>
      </w:tblGrid>
      <w:tr>
        <w:tblPrEx>
          <w:tblCellMar>
            <w:top w:w="0" w:type="dxa"/>
            <w:left w:w="108" w:type="dxa"/>
            <w:bottom w:w="0" w:type="dxa"/>
            <w:right w:w="108" w:type="dxa"/>
          </w:tblCellMar>
        </w:tblPrEx>
        <w:trPr>
          <w:trHeight w:val="270" w:hRule="atLeast"/>
          <w:tblHeader/>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序号</w:t>
            </w:r>
          </w:p>
        </w:tc>
        <w:tc>
          <w:tcPr>
            <w:tcW w:w="814"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名称</w:t>
            </w:r>
          </w:p>
        </w:tc>
        <w:tc>
          <w:tcPr>
            <w:tcW w:w="3798"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主要性能指标</w:t>
            </w:r>
          </w:p>
        </w:tc>
      </w:tr>
      <w:tr>
        <w:tblPrEx>
          <w:tblCellMar>
            <w:top w:w="0" w:type="dxa"/>
            <w:left w:w="108" w:type="dxa"/>
            <w:bottom w:w="0" w:type="dxa"/>
            <w:right w:w="108" w:type="dxa"/>
          </w:tblCellMar>
        </w:tblPrEx>
        <w:trPr>
          <w:trHeight w:val="3826" w:hRule="atLeast"/>
          <w:jc w:val="center"/>
        </w:trPr>
        <w:tc>
          <w:tcPr>
            <w:tcW w:w="387"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w:t>
            </w:r>
          </w:p>
        </w:tc>
        <w:tc>
          <w:tcPr>
            <w:tcW w:w="814"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背负式风力灭火机</w:t>
            </w:r>
          </w:p>
        </w:tc>
        <w:tc>
          <w:tcPr>
            <w:tcW w:w="3798" w:type="pct"/>
            <w:tcBorders>
              <w:top w:val="nil"/>
              <w:left w:val="nil"/>
              <w:bottom w:val="single" w:color="auto" w:sz="4" w:space="0"/>
              <w:right w:val="single" w:color="auto" w:sz="4" w:space="0"/>
            </w:tcBorders>
            <w:noWrap w:val="0"/>
            <w:vAlign w:val="center"/>
          </w:tcPr>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1、发动机：两冲程，符合国‖排放标准；</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2、气缸排量：≥79 cm³；</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3、功率≥4.0 kw；</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4、重量≤10.5kg；</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5、最大排风量：≥0.5m³/s；</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6、有效风力灭火距离：≥2.0m；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7、油箱容量 ≥2L；</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8、手感振动≤2.0m/s</w:t>
            </w:r>
            <w:r>
              <w:rPr>
                <w:rFonts w:hint="eastAsia" w:ascii="黑体" w:hAnsi="黑体" w:eastAsia="黑体" w:cs="黑体"/>
                <w:color w:val="auto"/>
                <w:sz w:val="24"/>
                <w:szCs w:val="24"/>
                <w:highlight w:val="none"/>
                <w:vertAlign w:val="superscript"/>
              </w:rPr>
              <w:t>2</w:t>
            </w:r>
            <w:r>
              <w:rPr>
                <w:rFonts w:hint="eastAsia" w:ascii="黑体" w:hAnsi="黑体" w:eastAsia="黑体" w:cs="黑体"/>
                <w:color w:val="auto"/>
                <w:sz w:val="24"/>
                <w:szCs w:val="24"/>
                <w:highlight w:val="none"/>
              </w:rPr>
              <w:t>（弹簧减震系统）；</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9、全封闭的供油管；</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10、耳旁噪声：≤100dB(A)；</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11、一次加油连续工作时间 min：≥110；</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12、常温启动：≤5S。</w:t>
            </w:r>
          </w:p>
        </w:tc>
      </w:tr>
      <w:tr>
        <w:tblPrEx>
          <w:tblCellMar>
            <w:top w:w="0" w:type="dxa"/>
            <w:left w:w="108" w:type="dxa"/>
            <w:bottom w:w="0" w:type="dxa"/>
            <w:right w:w="108" w:type="dxa"/>
          </w:tblCellMar>
        </w:tblPrEx>
        <w:trPr>
          <w:trHeight w:val="441" w:hRule="atLeast"/>
          <w:jc w:val="center"/>
        </w:trPr>
        <w:tc>
          <w:tcPr>
            <w:tcW w:w="387"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p>
        </w:tc>
        <w:tc>
          <w:tcPr>
            <w:tcW w:w="814"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背负式灭火水枪</w:t>
            </w:r>
          </w:p>
        </w:tc>
        <w:tc>
          <w:tcPr>
            <w:tcW w:w="3798"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1、由水桶、背带、连接水管、枪体组成；</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2、枪体由铝合金经表面氧化处理或不锈钢制作，射程：≥12米；</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3、水箱采用上出水或下出水防漏设计；</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4、水桶采用容积：≥16L；水桶质量≤2kg；枪体质量≤1kg；</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5、连接管：360度无死角连接，导管为100%硅胶材质，可连续弯曲100000次以上；</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6、灭火距离：≥2米；</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7、喷水量≥134ml；直射距离≥10m；散射距离≥4.5m；；</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8、密封圈使用寿命：≥20000个周期。</w:t>
            </w:r>
          </w:p>
        </w:tc>
      </w:tr>
      <w:tr>
        <w:trPr>
          <w:trHeight w:val="308" w:hRule="atLeast"/>
          <w:jc w:val="center"/>
        </w:trPr>
        <w:tc>
          <w:tcPr>
            <w:tcW w:w="387"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w:t>
            </w:r>
          </w:p>
        </w:tc>
        <w:tc>
          <w:tcPr>
            <w:tcW w:w="814"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背负式水冷循环泵</w:t>
            </w:r>
          </w:p>
        </w:tc>
        <w:tc>
          <w:tcPr>
            <w:tcW w:w="3798"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1、动力：两冲程、单缸、汽油机动力；</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2、冷却方式：强制水冷循环系统和自然风冷复合冷却方式；</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3、主机重量（不含电池）≤11.5kg；</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4、启动方式：一键式电启动及手拉反冲启动</w:t>
            </w:r>
            <w:r>
              <w:rPr>
                <w:rFonts w:hint="eastAsia" w:ascii="黑体" w:hAnsi="黑体" w:eastAsia="黑体" w:cs="黑体"/>
                <w:color w:val="auto"/>
                <w:sz w:val="24"/>
                <w:szCs w:val="24"/>
                <w:highlight w:val="none"/>
                <w:lang w:val="en-US" w:eastAsia="zh-CN"/>
              </w:rPr>
              <w:t>二合一</w:t>
            </w:r>
            <w:r>
              <w:rPr>
                <w:rFonts w:hint="eastAsia" w:ascii="黑体" w:hAnsi="黑体" w:eastAsia="黑体" w:cs="黑体"/>
                <w:color w:val="auto"/>
                <w:sz w:val="24"/>
                <w:szCs w:val="24"/>
                <w:highlight w:val="none"/>
              </w:rPr>
              <w:t>；</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5、燃油油箱：外挂油箱，容积≥15L；</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6、冷机启动≤10s；安装有快速启动装置的减压阀；</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7、发动机排量：≥80cc,发动机功率：≥10HP；</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8、最大压力≥2.0MPa、最大扬程≥215m；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9、最大流量≥4.5L/S；</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10、最大射程≥37m；</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11、配置水泵水管规格：30-40-30，300米（30米/卷，共10卷）</w:t>
            </w:r>
          </w:p>
        </w:tc>
      </w:tr>
      <w:tr>
        <w:tblPrEx>
          <w:tblCellMar>
            <w:top w:w="0" w:type="dxa"/>
            <w:left w:w="108" w:type="dxa"/>
            <w:bottom w:w="0" w:type="dxa"/>
            <w:right w:w="108" w:type="dxa"/>
          </w:tblCellMar>
        </w:tblPrEx>
        <w:trPr>
          <w:trHeight w:val="308" w:hRule="atLeast"/>
          <w:jc w:val="center"/>
        </w:trPr>
        <w:tc>
          <w:tcPr>
            <w:tcW w:w="387"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w:t>
            </w:r>
          </w:p>
        </w:tc>
        <w:tc>
          <w:tcPr>
            <w:tcW w:w="814"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大型灭火无人机</w:t>
            </w:r>
          </w:p>
        </w:tc>
        <w:tc>
          <w:tcPr>
            <w:tcW w:w="3798"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1、机型结构：共轴反桨八旋翼</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2、对角轴距：≥1500mm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3、旋转直径：≥2100mm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4、机身高度：≥700mm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5、机身材质：航空铝一体化机身</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6、无人机展开时间≤2min</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7、标准载荷：≥20kg</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8、最大载荷：≥25kg</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9、最大飞行海拔：≥5000m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10、最大飞行高度: ≥ 500m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11、续航飞行时间：空载≥30min 满载：≥15min</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12、最大平飞速度：≥12m/s</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13、最大爬升速度：≥8m/s</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14、最大降落速度：≥4m/s</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15、定位精度：定位误差≤1m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16、飞行模式：手动/增稳/自主</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17、配备前视及下视双摄像头，摄像头分辨率≥1080P，激光辅助瞄准装置，功率≥1W</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18、遥控距离：≥2.5km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19、图像链路距离：≥2.5km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20、续航时间：≥2h</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21、自动抛投灭火救援装置：</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1）最大有效载荷：≥50kg</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22、储压式干粉灭火剂罐/水基灭火剂罐：</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1）最大容积：&gt;18L</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2）最大压力：≥2.0mpa</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3）射程：≥10m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4）储存环境：－20℃-50℃</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23、抛投式灭火弹：</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1）有效干粉容量≥15g</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2）储存环境：－20℃-50℃</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24、系留照明</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1）照明范围≥8000m</w:t>
            </w:r>
            <w:r>
              <w:rPr>
                <w:rFonts w:hint="eastAsia" w:ascii="黑体" w:hAnsi="黑体" w:eastAsia="黑体" w:cs="黑体"/>
                <w:color w:val="auto"/>
                <w:sz w:val="24"/>
                <w:szCs w:val="24"/>
                <w:highlight w:val="none"/>
                <w:vertAlign w:val="superscript"/>
              </w:rPr>
              <w:t>2</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2）照明功率≥600W</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3）照明亮度（流明）≥ 100000流明</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4）照明时长≥100小时）</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5）供电模式 系留电缆+发电机</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25、应可数字接入到三明市应急局融合通信平台，满足平台调用，调看应用要求。</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供应商需提供承诺函，格式附后</w:t>
            </w:r>
            <w:r>
              <w:rPr>
                <w:rFonts w:hint="eastAsia" w:ascii="黑体" w:hAnsi="黑体" w:eastAsia="黑体" w:cs="黑体"/>
                <w:color w:val="auto"/>
                <w:sz w:val="24"/>
                <w:szCs w:val="24"/>
                <w:highlight w:val="none"/>
                <w:lang w:eastAsia="zh-CN"/>
              </w:rPr>
              <w:t>）</w:t>
            </w:r>
          </w:p>
          <w:p>
            <w:pPr>
              <w:spacing w:line="360" w:lineRule="auto"/>
              <w:rPr>
                <w:rFonts w:hint="eastAsia" w:ascii="黑体" w:hAnsi="黑体" w:eastAsia="黑体" w:cs="黑体"/>
                <w:color w:val="auto"/>
                <w:sz w:val="24"/>
                <w:szCs w:val="24"/>
                <w:highlight w:val="none"/>
                <w:lang w:val="en"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
              </w:rPr>
              <w:t>26</w:t>
            </w:r>
            <w:r>
              <w:rPr>
                <w:rFonts w:hint="eastAsia" w:ascii="黑体" w:hAnsi="黑体" w:eastAsia="黑体" w:cs="黑体"/>
                <w:color w:val="auto"/>
                <w:sz w:val="24"/>
                <w:szCs w:val="24"/>
                <w:highlight w:val="none"/>
                <w:lang w:val="en" w:eastAsia="zh-CN"/>
              </w:rPr>
              <w:t>、</w:t>
            </w:r>
            <w:r>
              <w:rPr>
                <w:rFonts w:hint="eastAsia" w:ascii="黑体" w:hAnsi="黑体" w:eastAsia="黑体" w:cs="黑体"/>
                <w:color w:val="auto"/>
                <w:sz w:val="24"/>
                <w:szCs w:val="24"/>
                <w:highlight w:val="none"/>
              </w:rPr>
              <w:t>包含3年音视频流量服务（4G物联网卡）；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供应商需提供承诺函，要求附后</w:t>
            </w:r>
            <w:r>
              <w:rPr>
                <w:rFonts w:hint="eastAsia" w:ascii="黑体" w:hAnsi="黑体" w:eastAsia="黑体" w:cs="黑体"/>
                <w:color w:val="auto"/>
                <w:sz w:val="24"/>
                <w:szCs w:val="24"/>
                <w:highlight w:val="none"/>
                <w:lang w:eastAsia="zh-CN"/>
              </w:rPr>
              <w:t>）</w:t>
            </w:r>
          </w:p>
        </w:tc>
      </w:tr>
      <w:tr>
        <w:tblPrEx>
          <w:tblCellMar>
            <w:top w:w="0" w:type="dxa"/>
            <w:left w:w="108" w:type="dxa"/>
            <w:bottom w:w="0" w:type="dxa"/>
            <w:right w:w="108" w:type="dxa"/>
          </w:tblCellMar>
        </w:tblPrEx>
        <w:trPr>
          <w:trHeight w:val="308" w:hRule="atLeast"/>
          <w:jc w:val="center"/>
        </w:trPr>
        <w:tc>
          <w:tcPr>
            <w:tcW w:w="387"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5</w:t>
            </w:r>
          </w:p>
        </w:tc>
        <w:tc>
          <w:tcPr>
            <w:tcW w:w="814"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电动灭火水枪</w:t>
            </w:r>
          </w:p>
        </w:tc>
        <w:tc>
          <w:tcPr>
            <w:tcW w:w="3798"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1、最大射程：≥12m；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2、手动喷水量：≥150ml；</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3、电动最大流量：≥7.5L/min；</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4、喷射状况：直射、散射、雾射可调节；</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5、储水容量：≥19L；</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6、整机净质量：≤12.5kg；</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7、最大压力：≥0.22Mpa；</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8、基本参数：蓄电池：12V，充电器：220V/12V；连续工作时间：≥6h；</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9、形式：背负式。</w:t>
            </w:r>
          </w:p>
        </w:tc>
      </w:tr>
      <w:tr>
        <w:tblPrEx>
          <w:tblCellMar>
            <w:top w:w="0" w:type="dxa"/>
            <w:left w:w="108" w:type="dxa"/>
            <w:bottom w:w="0" w:type="dxa"/>
            <w:right w:w="108" w:type="dxa"/>
          </w:tblCellMar>
        </w:tblPrEx>
        <w:trPr>
          <w:trHeight w:val="308" w:hRule="atLeast"/>
          <w:jc w:val="center"/>
        </w:trPr>
        <w:tc>
          <w:tcPr>
            <w:tcW w:w="387"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6</w:t>
            </w:r>
          </w:p>
        </w:tc>
        <w:tc>
          <w:tcPr>
            <w:tcW w:w="814"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高压便携式消防水泵</w:t>
            </w:r>
          </w:p>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（核心产品）</w:t>
            </w:r>
          </w:p>
        </w:tc>
        <w:tc>
          <w:tcPr>
            <w:tcW w:w="3798"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1、发动机：二冲程、单缸、风冷，功率≥8HP</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2、启动方式：</w:t>
            </w:r>
            <w:r>
              <w:rPr>
                <w:rFonts w:hint="eastAsia" w:ascii="黑体" w:hAnsi="黑体" w:eastAsia="黑体" w:cs="黑体"/>
                <w:color w:val="auto"/>
                <w:sz w:val="24"/>
                <w:szCs w:val="24"/>
                <w:highlight w:val="none"/>
                <w:lang w:val="en-US" w:eastAsia="zh-CN"/>
              </w:rPr>
              <w:t>一键</w:t>
            </w:r>
            <w:r>
              <w:rPr>
                <w:rFonts w:hint="eastAsia" w:ascii="黑体" w:hAnsi="黑体" w:eastAsia="黑体" w:cs="黑体"/>
                <w:color w:val="auto"/>
                <w:sz w:val="24"/>
                <w:szCs w:val="24"/>
                <w:highlight w:val="none"/>
              </w:rPr>
              <w:t>手拉启动</w:t>
            </w:r>
            <w:r>
              <w:rPr>
                <w:rFonts w:hint="eastAsia" w:ascii="黑体" w:hAnsi="黑体" w:eastAsia="黑体" w:cs="黑体"/>
                <w:color w:val="auto"/>
                <w:sz w:val="24"/>
                <w:szCs w:val="24"/>
                <w:highlight w:val="none"/>
                <w:lang w:val="en-US" w:eastAsia="zh-CN"/>
              </w:rPr>
              <w:t>及</w:t>
            </w:r>
            <w:r>
              <w:rPr>
                <w:rFonts w:hint="eastAsia" w:ascii="黑体" w:hAnsi="黑体" w:eastAsia="黑体" w:cs="黑体"/>
                <w:color w:val="auto"/>
                <w:sz w:val="24"/>
                <w:szCs w:val="24"/>
                <w:highlight w:val="none"/>
              </w:rPr>
              <w:t>电启动</w:t>
            </w:r>
            <w:r>
              <w:rPr>
                <w:rFonts w:hint="eastAsia" w:ascii="黑体" w:hAnsi="黑体" w:eastAsia="黑体" w:cs="黑体"/>
                <w:color w:val="auto"/>
                <w:sz w:val="24"/>
                <w:szCs w:val="24"/>
                <w:highlight w:val="none"/>
                <w:lang w:val="en-US" w:eastAsia="zh-CN"/>
              </w:rPr>
              <w:t>二合一</w:t>
            </w:r>
            <w:r>
              <w:rPr>
                <w:rFonts w:hint="eastAsia" w:ascii="黑体" w:hAnsi="黑体" w:eastAsia="黑体" w:cs="黑体"/>
                <w:color w:val="auto"/>
                <w:sz w:val="24"/>
                <w:szCs w:val="24"/>
                <w:highlight w:val="none"/>
              </w:rPr>
              <w:t>。</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3、最大流量：≥4 L/s</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4、最大射程：≥37m；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5、最大吸水深度：≥7m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6、进水口直径：≥50mm、出水口直径：≥38mm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7、净重：≤10kg</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8、最大压力：≥2.0MPa</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9、配置水泵水管规格：30-40-30，300米（30米/卷，共10卷）</w:t>
            </w:r>
          </w:p>
        </w:tc>
      </w:tr>
      <w:tr>
        <w:trPr>
          <w:trHeight w:val="308" w:hRule="atLeast"/>
          <w:jc w:val="center"/>
        </w:trPr>
        <w:tc>
          <w:tcPr>
            <w:tcW w:w="387"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7</w:t>
            </w:r>
          </w:p>
        </w:tc>
        <w:tc>
          <w:tcPr>
            <w:tcW w:w="814"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固定式消防水箱</w:t>
            </w:r>
          </w:p>
        </w:tc>
        <w:tc>
          <w:tcPr>
            <w:tcW w:w="3798"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1、容量≥5000L；</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2、直径≥175cm，高度≥200cm，厚度≥0.7cm；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3、整体材料为低密度聚乙烯；</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4、正常使用年限应不少于15年；</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5、桶体颜色为蓝色或白色，写有“森林消防”字样。</w:t>
            </w:r>
          </w:p>
        </w:tc>
      </w:tr>
      <w:tr>
        <w:tblPrEx>
          <w:tblCellMar>
            <w:top w:w="0" w:type="dxa"/>
            <w:left w:w="108" w:type="dxa"/>
            <w:bottom w:w="0" w:type="dxa"/>
            <w:right w:w="108" w:type="dxa"/>
          </w:tblCellMar>
        </w:tblPrEx>
        <w:trPr>
          <w:trHeight w:val="308" w:hRule="atLeast"/>
          <w:jc w:val="center"/>
        </w:trPr>
        <w:tc>
          <w:tcPr>
            <w:tcW w:w="387"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8</w:t>
            </w:r>
          </w:p>
        </w:tc>
        <w:tc>
          <w:tcPr>
            <w:tcW w:w="814"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手抬机动水泵</w:t>
            </w:r>
          </w:p>
        </w:tc>
        <w:tc>
          <w:tcPr>
            <w:tcW w:w="3798"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1、整机采用全封闭不锈钢框架结构；</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2、配套动力：四冲程，功率≥14HP；</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3、操作控制方式：遥控启、停机，有计时器，最大遥控距离≥300m；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4、燃油箱容积：≥6.5L；</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5、发动机冷启动性能：≤4.5s；</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6、启动方式：电启动和防水手拉绳启动</w:t>
            </w:r>
            <w:r>
              <w:rPr>
                <w:rFonts w:hint="eastAsia" w:ascii="黑体" w:hAnsi="黑体" w:eastAsia="黑体" w:cs="黑体"/>
                <w:color w:val="auto"/>
                <w:sz w:val="24"/>
                <w:szCs w:val="24"/>
                <w:highlight w:val="none"/>
                <w:lang w:val="en-US" w:eastAsia="zh-CN"/>
              </w:rPr>
              <w:t>二合一</w:t>
            </w:r>
            <w:r>
              <w:rPr>
                <w:rFonts w:hint="eastAsia" w:ascii="黑体" w:hAnsi="黑体" w:eastAsia="黑体" w:cs="黑体"/>
                <w:color w:val="auto"/>
                <w:sz w:val="24"/>
                <w:szCs w:val="24"/>
                <w:highlight w:val="none"/>
              </w:rPr>
              <w:t>；</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7、叶轮材质：不锈钢防腐蚀材料；其它过水部件材料：铝合金防腐蚀材料；</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8、引水方式：隔膜泵引水；</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9、最大扬程≥175m；最大射程：≥38m；最大吸水深度：≥7m；最大流量：≥12L/s；</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10、整机净质量：≤76kg；</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11、进水口直径：≥50mm；出水口直径：≥40mm；</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12、综合油耗：≤3L/h；噪音：≤95dB（A）。</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13、配置水泵水管规格：30-40-30，300米（30米/卷，共10卷）</w:t>
            </w:r>
          </w:p>
        </w:tc>
      </w:tr>
      <w:tr>
        <w:tblPrEx>
          <w:tblCellMar>
            <w:top w:w="0" w:type="dxa"/>
            <w:left w:w="108" w:type="dxa"/>
            <w:bottom w:w="0" w:type="dxa"/>
            <w:right w:w="108" w:type="dxa"/>
          </w:tblCellMar>
        </w:tblPrEx>
        <w:trPr>
          <w:trHeight w:val="308" w:hRule="atLeast"/>
          <w:jc w:val="center"/>
        </w:trPr>
        <w:tc>
          <w:tcPr>
            <w:tcW w:w="387"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9</w:t>
            </w:r>
          </w:p>
        </w:tc>
        <w:tc>
          <w:tcPr>
            <w:tcW w:w="814"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移动消防水桶</w:t>
            </w:r>
          </w:p>
        </w:tc>
        <w:tc>
          <w:tcPr>
            <w:tcW w:w="3798"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1、蓄水2吨以上</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2、聚氯乙烯PVC材质、耐腐蚀、抗老化结实耐用</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3、可组装拆卸、简单方便、可移动、搬运、灵活</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4、厚度：≥0.9mm；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5、拉力强度：经≥4900N/5cm、纬≥5000N/5cm；</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6、使用温度：-20℃~70℃。</w:t>
            </w:r>
          </w:p>
        </w:tc>
      </w:tr>
      <w:tr>
        <w:tblPrEx>
          <w:tblCellMar>
            <w:top w:w="0" w:type="dxa"/>
            <w:left w:w="108" w:type="dxa"/>
            <w:bottom w:w="0" w:type="dxa"/>
            <w:right w:w="108" w:type="dxa"/>
          </w:tblCellMar>
        </w:tblPrEx>
        <w:trPr>
          <w:trHeight w:val="308" w:hRule="atLeast"/>
          <w:jc w:val="center"/>
        </w:trPr>
        <w:tc>
          <w:tcPr>
            <w:tcW w:w="387"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10</w:t>
            </w:r>
          </w:p>
        </w:tc>
        <w:tc>
          <w:tcPr>
            <w:tcW w:w="814"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油锯</w:t>
            </w:r>
          </w:p>
        </w:tc>
        <w:tc>
          <w:tcPr>
            <w:tcW w:w="3798"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1、发动机2-mix 混合2冲程发动机，符合国‖排放标准。</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2、功率≥2.0Kw。</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3、重量≤5Kg。</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4、燃油消耗率≤ 550g/kw.h。</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5、锯切效率≥45 cm</w:t>
            </w:r>
            <w:r>
              <w:rPr>
                <w:rFonts w:hint="eastAsia" w:ascii="黑体" w:hAnsi="黑体" w:eastAsia="黑体" w:cs="黑体"/>
                <w:color w:val="auto"/>
                <w:sz w:val="24"/>
                <w:szCs w:val="24"/>
                <w:highlight w:val="none"/>
                <w:vertAlign w:val="superscript"/>
              </w:rPr>
              <w:t>2</w:t>
            </w:r>
            <w:r>
              <w:rPr>
                <w:rFonts w:hint="eastAsia" w:ascii="黑体" w:hAnsi="黑体" w:eastAsia="黑体" w:cs="黑体"/>
                <w:color w:val="auto"/>
                <w:sz w:val="24"/>
                <w:szCs w:val="24"/>
                <w:highlight w:val="none"/>
              </w:rPr>
              <w:t>/s。</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6、手感振动≤5.0 m/s²。</w:t>
            </w:r>
          </w:p>
        </w:tc>
      </w:tr>
      <w:tr>
        <w:trPr>
          <w:trHeight w:val="308" w:hRule="atLeast"/>
          <w:jc w:val="center"/>
        </w:trPr>
        <w:tc>
          <w:tcPr>
            <w:tcW w:w="387"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11</w:t>
            </w:r>
          </w:p>
        </w:tc>
        <w:tc>
          <w:tcPr>
            <w:tcW w:w="814"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中型高压森林消防水泵</w:t>
            </w:r>
          </w:p>
        </w:tc>
        <w:tc>
          <w:tcPr>
            <w:tcW w:w="3798"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1、发动机：强制风冷、四冲程；</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2、发动机最大功率≥18hp；</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3、发动机启动方式：</w:t>
            </w:r>
            <w:r>
              <w:rPr>
                <w:rFonts w:hint="eastAsia" w:ascii="黑体" w:hAnsi="黑体" w:eastAsia="黑体" w:cs="黑体"/>
                <w:color w:val="auto"/>
                <w:sz w:val="24"/>
                <w:szCs w:val="24"/>
                <w:highlight w:val="none"/>
                <w:lang w:val="en-US" w:eastAsia="zh-CN"/>
              </w:rPr>
              <w:t>一键</w:t>
            </w:r>
            <w:r>
              <w:rPr>
                <w:rFonts w:hint="eastAsia" w:ascii="黑体" w:hAnsi="黑体" w:eastAsia="黑体" w:cs="黑体"/>
                <w:color w:val="auto"/>
                <w:sz w:val="24"/>
                <w:szCs w:val="24"/>
                <w:highlight w:val="none"/>
              </w:rPr>
              <w:t>电启动及手启动</w:t>
            </w:r>
            <w:r>
              <w:rPr>
                <w:rFonts w:hint="eastAsia" w:ascii="黑体" w:hAnsi="黑体" w:eastAsia="黑体" w:cs="黑体"/>
                <w:color w:val="auto"/>
                <w:sz w:val="24"/>
                <w:szCs w:val="24"/>
                <w:highlight w:val="none"/>
                <w:lang w:val="en-US" w:eastAsia="zh-CN"/>
              </w:rPr>
              <w:t>二合一</w:t>
            </w:r>
            <w:r>
              <w:rPr>
                <w:rFonts w:hint="eastAsia" w:ascii="黑体" w:hAnsi="黑体" w:eastAsia="黑体" w:cs="黑体"/>
                <w:color w:val="auto"/>
                <w:sz w:val="24"/>
                <w:szCs w:val="24"/>
                <w:highlight w:val="none"/>
              </w:rPr>
              <w:t>；</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4、启动时间：≤5s；</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5、最大射程：≥28m；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6、最大吸程：≥5m；</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7、最大流量≥135L/min；</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8、进水口直径：≥32mm；</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9、重量：≤ 100kg；</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10、五缸隔膜泵，整机上安装有调压阀及压力表，无需工具可以调整压力和流量，可手动快速泄压；</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11、配置水泵水管规格：30-40-30，300米（30米/卷，共10卷）</w:t>
            </w:r>
          </w:p>
        </w:tc>
      </w:tr>
    </w:tbl>
    <w:p>
      <w:pPr>
        <w:pStyle w:val="8"/>
        <w:numPr>
          <w:ilvl w:val="0"/>
          <w:numId w:val="0"/>
        </w:numPr>
        <w:spacing w:line="360" w:lineRule="auto"/>
        <w:jc w:val="both"/>
        <w:outlineLvl w:val="2"/>
        <w:rPr>
          <w:rFonts w:hint="eastAsia" w:ascii="黑体" w:hAnsi="黑体" w:eastAsia="黑体" w:cs="黑体"/>
          <w:b/>
          <w:color w:val="auto"/>
          <w:sz w:val="24"/>
          <w:szCs w:val="24"/>
          <w:highlight w:val="none"/>
          <w:lang w:val="en-US" w:eastAsia="zh-CN"/>
        </w:rPr>
      </w:pPr>
    </w:p>
    <w:p>
      <w:pPr>
        <w:numPr>
          <w:ilvl w:val="0"/>
          <w:numId w:val="0"/>
        </w:numPr>
        <w:spacing w:line="360" w:lineRule="auto"/>
        <w:rPr>
          <w:rFonts w:hint="eastAsia" w:ascii="黑体" w:hAnsi="黑体" w:eastAsia="黑体" w:cs="黑体"/>
          <w:b/>
          <w:bCs/>
          <w:color w:val="auto"/>
          <w:sz w:val="24"/>
          <w:szCs w:val="24"/>
          <w:highlight w:val="none"/>
          <w:lang w:eastAsia="zh-CN"/>
        </w:rPr>
      </w:pPr>
      <w:r>
        <w:rPr>
          <w:rFonts w:hint="eastAsia" w:ascii="黑体" w:hAnsi="黑体" w:eastAsia="黑体" w:cs="黑体"/>
          <w:b/>
          <w:bCs/>
          <w:color w:val="auto"/>
          <w:sz w:val="24"/>
          <w:szCs w:val="24"/>
          <w:highlight w:val="none"/>
          <w:lang w:val="en-US" w:eastAsia="zh-CN"/>
        </w:rPr>
        <w:t>备注：1.投标人需提供以上所有产品的</w:t>
      </w:r>
      <w:r>
        <w:rPr>
          <w:rFonts w:hint="eastAsia" w:ascii="黑体" w:hAnsi="黑体" w:eastAsia="黑体" w:cs="黑体"/>
          <w:b/>
          <w:bCs/>
          <w:color w:val="auto"/>
          <w:sz w:val="24"/>
          <w:szCs w:val="24"/>
          <w:highlight w:val="none"/>
        </w:rPr>
        <w:t>产品技术规格书(或使用说明书)</w:t>
      </w:r>
      <w:r>
        <w:rPr>
          <w:rFonts w:hint="eastAsia" w:ascii="黑体" w:hAnsi="黑体" w:eastAsia="黑体" w:cs="黑体"/>
          <w:b/>
          <w:bCs/>
          <w:color w:val="auto"/>
          <w:sz w:val="24"/>
          <w:szCs w:val="24"/>
          <w:highlight w:val="none"/>
          <w:lang w:eastAsia="zh-CN"/>
        </w:rPr>
        <w:t>。</w:t>
      </w:r>
    </w:p>
    <w:p>
      <w:pPr>
        <w:numPr>
          <w:ilvl w:val="0"/>
          <w:numId w:val="0"/>
        </w:numPr>
        <w:spacing w:line="360" w:lineRule="auto"/>
        <w:ind w:firstLine="722" w:firstLineChars="300"/>
        <w:rPr>
          <w:rFonts w:hint="eastAsia" w:ascii="黑体" w:hAnsi="黑体" w:eastAsia="黑体" w:cs="黑体"/>
          <w:b/>
          <w:bCs/>
          <w:strike w:val="0"/>
          <w:dstrike w:val="0"/>
          <w:color w:val="auto"/>
          <w:sz w:val="24"/>
          <w:szCs w:val="24"/>
          <w:highlight w:val="none"/>
          <w:u w:val="none"/>
          <w:lang w:val="en-US" w:eastAsia="zh-CN"/>
        </w:rPr>
      </w:pPr>
      <w:r>
        <w:rPr>
          <w:rFonts w:hint="eastAsia" w:ascii="黑体" w:hAnsi="黑体" w:eastAsia="黑体" w:cs="黑体"/>
          <w:b/>
          <w:bCs/>
          <w:strike w:val="0"/>
          <w:dstrike w:val="0"/>
          <w:color w:val="auto"/>
          <w:sz w:val="24"/>
          <w:szCs w:val="24"/>
          <w:highlight w:val="none"/>
          <w:u w:val="none"/>
          <w:lang w:val="en-US" w:eastAsia="zh-CN"/>
        </w:rPr>
        <w:t>2.以上标注“★或▲”号的技术参数须提供中国国家认证认可监督管理委员会颁发的具有CMA或CNAS资格的检测机构出具的检测报告佐证。</w:t>
      </w:r>
    </w:p>
    <w:p>
      <w:pPr>
        <w:numPr>
          <w:ilvl w:val="0"/>
          <w:numId w:val="0"/>
        </w:numPr>
        <w:spacing w:line="360" w:lineRule="auto"/>
        <w:rPr>
          <w:rFonts w:hint="eastAsia" w:ascii="黑体" w:hAnsi="黑体" w:eastAsia="黑体" w:cs="黑体"/>
          <w:b/>
          <w:bCs/>
          <w:strike w:val="0"/>
          <w:dstrike w:val="0"/>
          <w:color w:val="auto"/>
          <w:sz w:val="24"/>
          <w:szCs w:val="24"/>
          <w:highlight w:val="none"/>
          <w:u w:val="none"/>
          <w:lang w:val="en-US" w:eastAsia="zh-CN"/>
        </w:rPr>
      </w:pPr>
      <w:r>
        <w:rPr>
          <w:rFonts w:hint="eastAsia" w:ascii="黑体" w:hAnsi="黑体" w:eastAsia="黑体" w:cs="黑体"/>
          <w:b/>
          <w:bCs/>
          <w:strike w:val="0"/>
          <w:dstrike w:val="0"/>
          <w:color w:val="auto"/>
          <w:sz w:val="24"/>
          <w:szCs w:val="24"/>
          <w:highlight w:val="none"/>
          <w:u w:val="none"/>
          <w:lang w:val="en-US" w:eastAsia="zh-CN"/>
        </w:rPr>
        <w:t xml:space="preserve">      3.承诺函</w:t>
      </w:r>
    </w:p>
    <w:p>
      <w:pPr>
        <w:pStyle w:val="8"/>
        <w:spacing w:line="360" w:lineRule="auto"/>
        <w:ind w:firstLine="481" w:firstLineChars="200"/>
        <w:jc w:val="both"/>
        <w:outlineLvl w:val="2"/>
        <w:rPr>
          <w:rFonts w:hint="eastAsia"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承诺函至少包含以下内容：供应商需承诺按照招标文件要求提供“3年音视频流量服务（4G物联网卡）”，在货物最终验收之前需按照该合同包的技术参数要求将相关设备接入到三明市应急局融合通信平台，满足平台调用，调看应用要求，否则采购人不予验收，因无法接入平台导致的项目延期所产生的一切损失均由中标人承担。</w:t>
      </w:r>
    </w:p>
    <w:p>
      <w:pPr>
        <w:pStyle w:val="8"/>
        <w:spacing w:line="360" w:lineRule="auto"/>
        <w:ind w:firstLine="481" w:firstLineChars="200"/>
        <w:jc w:val="both"/>
        <w:outlineLvl w:val="2"/>
        <w:rPr>
          <w:rFonts w:hint="default" w:ascii="黑体" w:hAnsi="黑体" w:eastAsia="黑体" w:cs="黑体"/>
          <w:b/>
          <w:color w:val="auto"/>
          <w:sz w:val="24"/>
          <w:szCs w:val="24"/>
          <w:highlight w:val="none"/>
          <w:lang w:val="en-US" w:eastAsia="zh-CN"/>
        </w:rPr>
      </w:pPr>
    </w:p>
    <w:p>
      <w:pPr>
        <w:numPr>
          <w:ilvl w:val="0"/>
          <w:numId w:val="0"/>
        </w:numPr>
        <w:spacing w:line="360" w:lineRule="auto"/>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合同包二：</w:t>
      </w:r>
      <w:r>
        <w:rPr>
          <w:rFonts w:hint="eastAsia" w:ascii="黑体" w:hAnsi="黑体" w:eastAsia="黑体" w:cs="黑体"/>
          <w:b/>
          <w:bCs/>
          <w:color w:val="auto"/>
          <w:kern w:val="0"/>
          <w:sz w:val="24"/>
          <w:szCs w:val="24"/>
          <w:highlight w:val="none"/>
        </w:rPr>
        <w:t>安全防护类</w:t>
      </w:r>
    </w:p>
    <w:tbl>
      <w:tblPr>
        <w:tblStyle w:val="5"/>
        <w:tblW w:w="5000" w:type="pct"/>
        <w:jc w:val="center"/>
        <w:tblLayout w:type="fixed"/>
        <w:tblCellMar>
          <w:top w:w="0" w:type="dxa"/>
          <w:left w:w="108" w:type="dxa"/>
          <w:bottom w:w="0" w:type="dxa"/>
          <w:right w:w="108" w:type="dxa"/>
        </w:tblCellMar>
      </w:tblPr>
      <w:tblGrid>
        <w:gridCol w:w="860"/>
        <w:gridCol w:w="1575"/>
        <w:gridCol w:w="7419"/>
      </w:tblGrid>
      <w:tr>
        <w:tblPrEx>
          <w:tblCellMar>
            <w:top w:w="0" w:type="dxa"/>
            <w:left w:w="108" w:type="dxa"/>
            <w:bottom w:w="0" w:type="dxa"/>
            <w:right w:w="108" w:type="dxa"/>
          </w:tblCellMar>
        </w:tblPrEx>
        <w:trPr>
          <w:trHeight w:val="270" w:hRule="atLeast"/>
          <w:tblHeader/>
          <w:jc w:val="center"/>
        </w:trPr>
        <w:tc>
          <w:tcPr>
            <w:tcW w:w="43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序号</w:t>
            </w:r>
          </w:p>
        </w:tc>
        <w:tc>
          <w:tcPr>
            <w:tcW w:w="799"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名称</w:t>
            </w:r>
          </w:p>
        </w:tc>
        <w:tc>
          <w:tcPr>
            <w:tcW w:w="3764"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主要性能指标</w:t>
            </w:r>
          </w:p>
        </w:tc>
      </w:tr>
      <w:tr>
        <w:tblPrEx>
          <w:tblCellMar>
            <w:top w:w="0" w:type="dxa"/>
            <w:left w:w="108" w:type="dxa"/>
            <w:bottom w:w="0" w:type="dxa"/>
            <w:right w:w="108" w:type="dxa"/>
          </w:tblCellMar>
        </w:tblPrEx>
        <w:trPr>
          <w:trHeight w:val="308" w:hRule="atLeast"/>
          <w:jc w:val="center"/>
        </w:trPr>
        <w:tc>
          <w:tcPr>
            <w:tcW w:w="436"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w:t>
            </w:r>
          </w:p>
        </w:tc>
        <w:tc>
          <w:tcPr>
            <w:tcW w:w="799"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rPr>
              <w:t>灭火阻燃服套装</w:t>
            </w:r>
            <w:r>
              <w:rPr>
                <w:rFonts w:hint="eastAsia" w:ascii="黑体" w:hAnsi="黑体" w:eastAsia="黑体" w:cs="黑体"/>
                <w:color w:val="auto"/>
                <w:kern w:val="0"/>
                <w:sz w:val="24"/>
                <w:szCs w:val="24"/>
                <w:highlight w:val="none"/>
                <w:lang w:eastAsia="zh-CN"/>
              </w:rPr>
              <w:t>（核心产品）</w:t>
            </w:r>
          </w:p>
        </w:tc>
        <w:tc>
          <w:tcPr>
            <w:tcW w:w="3764" w:type="pct"/>
            <w:tcBorders>
              <w:top w:val="nil"/>
              <w:left w:val="nil"/>
              <w:bottom w:val="single" w:color="auto" w:sz="4" w:space="0"/>
              <w:right w:val="single" w:color="auto" w:sz="4" w:space="0"/>
            </w:tcBorders>
            <w:noWrap/>
            <w:vAlign w:val="top"/>
          </w:tcPr>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一、阻燃服参数：</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1、颜色:桔红色，色号；16-1462TPx(国际潘通色卡),色差△E≤3.5；</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2、面料材质：采用永久阻燃100%芳纶纤维方格布料，具有防静电、防水、阻燃性能；</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3、符合GB/T33536-2017《防护服装 森林防火服》标准；</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4、森林防火服面料阻燃、隔热性能、物理化性能为：</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续燃时间≤0.0s,阴燃时间≤0.0s；</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损坏长度：T≤17mm；W≤18mm；</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断裂强度:经向≥1500N、纬向≥1400N；</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撕破强度：经向≥450N、纬向≥430N；</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热洗涤50次后防护系数TPP（kw.s/m</w:t>
            </w:r>
            <w:r>
              <w:rPr>
                <w:rFonts w:hint="eastAsia" w:ascii="黑体" w:hAnsi="黑体" w:eastAsia="黑体" w:cs="黑体"/>
                <w:color w:val="auto"/>
                <w:kern w:val="0"/>
                <w:sz w:val="24"/>
                <w:szCs w:val="24"/>
                <w:highlight w:val="none"/>
                <w:vertAlign w:val="superscript"/>
              </w:rPr>
              <w:t>2</w:t>
            </w:r>
            <w:r>
              <w:rPr>
                <w:rFonts w:hint="eastAsia" w:ascii="黑体" w:hAnsi="黑体" w:eastAsia="黑体" w:cs="黑体"/>
                <w:color w:val="auto"/>
                <w:kern w:val="0"/>
                <w:sz w:val="24"/>
                <w:szCs w:val="24"/>
                <w:highlight w:val="none"/>
              </w:rPr>
              <w:t>）≥350；</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5、耐皂洗色牢度≥3级；耐光色牢度≥4级,耐水洗色牢度≥3级,耐摩擦色牢度≥3级,耐汗渍色牢度≥3级；</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6、大腿处加强面料的阻燃、隔热性能、物理化性能为：</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续燃时间≤0.0s,阴燃时间≤0.0s；</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损坏长度：T≤10mm；W≤10mm；</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断裂强度：经向≥1800N、纬向≥1700N；</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撕破强度：经向≥500N、纬向≥480N；</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热洗涤50次后防护系数TPP（kw.s/m</w:t>
            </w:r>
            <w:r>
              <w:rPr>
                <w:rFonts w:hint="eastAsia" w:ascii="黑体" w:hAnsi="黑体" w:eastAsia="黑体" w:cs="黑体"/>
                <w:color w:val="auto"/>
                <w:kern w:val="0"/>
                <w:sz w:val="24"/>
                <w:szCs w:val="24"/>
                <w:highlight w:val="none"/>
                <w:vertAlign w:val="superscript"/>
              </w:rPr>
              <w:t>2</w:t>
            </w:r>
            <w:r>
              <w:rPr>
                <w:rFonts w:hint="eastAsia" w:ascii="黑体" w:hAnsi="黑体" w:eastAsia="黑体" w:cs="黑体"/>
                <w:color w:val="auto"/>
                <w:kern w:val="0"/>
                <w:sz w:val="24"/>
                <w:szCs w:val="24"/>
                <w:highlight w:val="none"/>
              </w:rPr>
              <w:t>）≥480；</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7、缝纫线强力：断裂强力≥15N；森林防火服成品裤后裆断裂强力≥700N,肩接缝断裂强力≥720N,单衣接缝断裂强力≥310N；</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8、衣服中标后印字要求:按照客户要求印字；</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9、全套外挂标牌；</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10、左手臂处自带两块毛面魔术贴,右手臂自带1块毛面魔术贴</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11、左前胸带悬挂袢及自由固定收紧式魔术贴</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12、大腿面部采用耐磨菱形格加强面料加固缝制</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13、全套收紧:领口紧(采用魔术贴收紧),袖口紧(采用魔术贴收紧),衣服腰部收紧(采用衣服内部收紧绳调节松紧),衣服下口收紧(采用衣服内部收紧绳调节松紧）,裤口双重收紧(采用魔术贴及拉链调节松紧)</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14、反光带:</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续燃时间≤0.0s,阴燃时间≤0.0s</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损坏长度：T≤15mm；W≤14mm</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反射率系数≥370cd/(lx*m2)；</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15、腰带：符合应急管理部公告2020年第5号，消防救援行业标准GA494-2004《消防用防坠落装备》标准；插扣式；</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二、阻燃头盔：</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lang w:val="en-US" w:eastAsia="zh-CN"/>
              </w:rPr>
              <w:t>1.</w:t>
            </w:r>
            <w:r>
              <w:rPr>
                <w:rFonts w:hint="eastAsia" w:ascii="黑体" w:hAnsi="黑体" w:eastAsia="黑体" w:cs="黑体"/>
                <w:color w:val="auto"/>
                <w:kern w:val="0"/>
                <w:sz w:val="24"/>
                <w:szCs w:val="24"/>
                <w:highlight w:val="none"/>
              </w:rPr>
              <w:t>冲击吸收性能：头模所受冲击力≤2450N；帽壳不得有碎片脱落。</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lang w:val="en-US" w:eastAsia="zh-CN"/>
              </w:rPr>
              <w:t>2.</w:t>
            </w:r>
            <w:r>
              <w:rPr>
                <w:rFonts w:hint="eastAsia" w:ascii="黑体" w:hAnsi="黑体" w:eastAsia="黑体" w:cs="黑体"/>
                <w:color w:val="auto"/>
                <w:kern w:val="0"/>
                <w:sz w:val="24"/>
                <w:szCs w:val="24"/>
                <w:highlight w:val="none"/>
              </w:rPr>
              <w:t>阻燃性能：续燃时间≤0.5s；帽壳不得烧穿。</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val="en-US" w:eastAsia="zh-CN"/>
              </w:rPr>
              <w:t>3.</w:t>
            </w:r>
            <w:r>
              <w:rPr>
                <w:rFonts w:hint="eastAsia" w:ascii="黑体" w:hAnsi="黑体" w:eastAsia="黑体" w:cs="黑体"/>
                <w:color w:val="auto"/>
                <w:kern w:val="0"/>
                <w:sz w:val="24"/>
                <w:szCs w:val="24"/>
                <w:highlight w:val="none"/>
              </w:rPr>
              <w:t>耐穿透性能：经低温预处理钢锥不应与头模建立接触；</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val="en-US" w:eastAsia="zh-CN"/>
              </w:rPr>
              <w:t>4.</w:t>
            </w:r>
            <w:r>
              <w:rPr>
                <w:rFonts w:hint="eastAsia" w:ascii="黑体" w:hAnsi="黑体" w:eastAsia="黑体" w:cs="黑体"/>
                <w:color w:val="auto"/>
                <w:kern w:val="0"/>
                <w:sz w:val="24"/>
                <w:szCs w:val="24"/>
                <w:highlight w:val="none"/>
              </w:rPr>
              <w:t>热稳定性能：头盔在180℃的烘箱中保持5min后，其边沿无变形；硬质附件保持功能完好；反光材料表面无碳化、脱落现象。</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lang w:val="en-US" w:eastAsia="zh-CN"/>
              </w:rPr>
              <w:t>5.</w:t>
            </w:r>
            <w:r>
              <w:rPr>
                <w:rFonts w:hint="eastAsia" w:ascii="黑体" w:hAnsi="黑体" w:eastAsia="黑体" w:cs="黑体"/>
                <w:color w:val="auto"/>
                <w:kern w:val="0"/>
                <w:sz w:val="24"/>
                <w:szCs w:val="24"/>
                <w:highlight w:val="none"/>
              </w:rPr>
              <w:t>侧向刚性：最大变形≤40mm，卸载后变形≤2mm。</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lang w:val="en-US" w:eastAsia="zh-CN"/>
              </w:rPr>
              <w:t>6.</w:t>
            </w:r>
            <w:r>
              <w:rPr>
                <w:rFonts w:hint="eastAsia" w:ascii="黑体" w:hAnsi="黑体" w:eastAsia="黑体" w:cs="黑体"/>
                <w:color w:val="auto"/>
                <w:kern w:val="0"/>
                <w:sz w:val="24"/>
                <w:szCs w:val="24"/>
                <w:highlight w:val="none"/>
              </w:rPr>
              <w:t>下颏带抗拉强度：下颏带不应发生断裂、滑脱，其延伸长度≤15mm。</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三、阻燃头套、披肩：</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rPr>
              <w:t>芳纶阻燃面料和铝箔相结合披肩；</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rPr>
              <w:t>阻燃性能：洗涤50次后，阻燃时间经向及纬向（S）≤1，阻燃时间经向及纬向（S）≤1；损毁长度（mm）经向≤20；纬向≤20；热防护系数 TPP（kw.s/m</w:t>
            </w:r>
            <w:r>
              <w:rPr>
                <w:rFonts w:hint="eastAsia" w:ascii="黑体" w:hAnsi="黑体" w:eastAsia="黑体" w:cs="黑体"/>
                <w:color w:val="auto"/>
                <w:kern w:val="0"/>
                <w:sz w:val="24"/>
                <w:szCs w:val="24"/>
                <w:highlight w:val="none"/>
                <w:vertAlign w:val="superscript"/>
              </w:rPr>
              <w:t>2</w:t>
            </w:r>
            <w:r>
              <w:rPr>
                <w:rFonts w:hint="eastAsia" w:ascii="黑体" w:hAnsi="黑体" w:eastAsia="黑体" w:cs="黑体"/>
                <w:color w:val="auto"/>
                <w:kern w:val="0"/>
                <w:sz w:val="24"/>
                <w:szCs w:val="24"/>
                <w:highlight w:val="none"/>
              </w:rPr>
              <w:t>）≥270；</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rPr>
              <w:t>全覆盖式头套采用100%芳纶制作，洗涤 50 次后：续燃时间：经向：≤0.5s，纬向：≤0.5s；阻燃时间：经向：≤0.5s，纬向：≤0.5s；损毁长度：经向：≤20mm，纬向：≤20mm；甲醛含量：≤75mg/kg；</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四、阻燃靴：</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val="en-US" w:eastAsia="zh-CN"/>
              </w:rPr>
              <w:t>1.</w:t>
            </w:r>
            <w:r>
              <w:rPr>
                <w:rFonts w:hint="eastAsia" w:ascii="黑体" w:hAnsi="黑体" w:eastAsia="黑体" w:cs="黑体"/>
                <w:color w:val="auto"/>
                <w:kern w:val="0"/>
                <w:sz w:val="24"/>
                <w:szCs w:val="24"/>
                <w:highlight w:val="none"/>
              </w:rPr>
              <w:t>长靴款式，高≥18cm；</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lang w:val="en-US" w:eastAsia="zh-CN"/>
              </w:rPr>
              <w:t>2.</w:t>
            </w:r>
            <w:r>
              <w:rPr>
                <w:rFonts w:hint="eastAsia" w:ascii="黑体" w:hAnsi="黑体" w:eastAsia="黑体" w:cs="黑体"/>
                <w:color w:val="auto"/>
                <w:kern w:val="0"/>
                <w:sz w:val="24"/>
                <w:szCs w:val="24"/>
                <w:highlight w:val="none"/>
              </w:rPr>
              <w:t>阻燃性能：火焰离开试样各试验点后，离火自熄时间≤1s；</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lang w:val="en-US" w:eastAsia="zh-CN"/>
              </w:rPr>
              <w:t>3.</w:t>
            </w:r>
            <w:r>
              <w:rPr>
                <w:rFonts w:hint="eastAsia" w:ascii="黑体" w:hAnsi="黑体" w:eastAsia="黑体" w:cs="黑体"/>
                <w:color w:val="auto"/>
                <w:kern w:val="0"/>
                <w:sz w:val="24"/>
                <w:szCs w:val="24"/>
                <w:highlight w:val="none"/>
              </w:rPr>
              <w:t>损毁长度≤45mm；</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lang w:val="en-US" w:eastAsia="zh-CN"/>
              </w:rPr>
              <w:t>4.</w:t>
            </w:r>
            <w:r>
              <w:rPr>
                <w:rFonts w:hint="eastAsia" w:ascii="黑体" w:hAnsi="黑体" w:eastAsia="黑体" w:cs="黑体"/>
                <w:color w:val="auto"/>
                <w:kern w:val="0"/>
                <w:sz w:val="24"/>
                <w:szCs w:val="24"/>
                <w:highlight w:val="none"/>
              </w:rPr>
              <w:t>鞋帮抗刺穿性能≥200N；</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lang w:val="en-US" w:eastAsia="zh-CN"/>
              </w:rPr>
              <w:t>5.</w:t>
            </w:r>
            <w:r>
              <w:rPr>
                <w:rFonts w:hint="eastAsia" w:ascii="黑体" w:hAnsi="黑体" w:eastAsia="黑体" w:cs="黑体"/>
                <w:color w:val="auto"/>
                <w:kern w:val="0"/>
                <w:sz w:val="24"/>
                <w:szCs w:val="24"/>
                <w:highlight w:val="none"/>
              </w:rPr>
              <w:t>鞋底抗刺穿性能≥1440N；</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五、手套：</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续燃时间≤0.0s；阴燃时间≤0.1s；损毁长度≤15mm；断裂强力（洗涤50 次后）≥2000N，撕破强力（洗涤50 次后）≥250N；甲醛含量0 mg/kg；热稳定性≤1.0%； PH值6.0-7.0；热防护系数TPP KW.S/㎡≥290N；</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六、护目镜</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1</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rPr>
              <w:t>符合国家GA 1273－2015《消防员防护辅助装备 消防护目镜》的要求</w:t>
            </w:r>
            <w:r>
              <w:rPr>
                <w:rFonts w:hint="eastAsia" w:ascii="黑体" w:hAnsi="黑体" w:eastAsia="黑体" w:cs="黑体"/>
                <w:color w:val="auto"/>
                <w:kern w:val="0"/>
                <w:sz w:val="24"/>
                <w:szCs w:val="24"/>
                <w:highlight w:val="none"/>
                <w:lang w:eastAsia="zh-CN"/>
              </w:rPr>
              <w:t>（提供相应检验报告复印件）</w:t>
            </w:r>
            <w:r>
              <w:rPr>
                <w:rFonts w:hint="eastAsia" w:ascii="黑体" w:hAnsi="黑体" w:eastAsia="黑体" w:cs="黑体"/>
                <w:color w:val="auto"/>
                <w:kern w:val="0"/>
                <w:sz w:val="24"/>
                <w:szCs w:val="24"/>
                <w:highlight w:val="none"/>
              </w:rPr>
              <w:t>；</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rPr>
              <w:t>护目镜头带阻燃性能：续燃时间(s)≤1.0,损毁长度≤40mm 无熔融、滴落现象；</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rPr>
              <w:t>镜面做防雾处理。</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七、手电</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rPr>
              <w:t>低压状态下连续工作时间:强光&gt;15min，工作光&gt;30m；</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rPr>
              <w:t>连续放电时间：强光≥4h、工作光≥8h，具有强光/工作光/爆闪三档光；</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rPr>
              <w:t>防爆等级:ExibIICT4Gb；</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lang w:val="en-US" w:eastAsia="zh-CN"/>
              </w:rPr>
              <w:t>4.</w:t>
            </w:r>
            <w:r>
              <w:rPr>
                <w:rFonts w:hint="eastAsia" w:ascii="黑体" w:hAnsi="黑体" w:eastAsia="黑体" w:cs="黑体"/>
                <w:color w:val="auto"/>
                <w:kern w:val="0"/>
                <w:sz w:val="24"/>
                <w:szCs w:val="24"/>
                <w:highlight w:val="none"/>
              </w:rPr>
              <w:t>防护等级≥IP66；</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八、配备多功能水壶、背包</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多功能水壶：</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rPr>
              <w:t>材质：铝合金；</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rPr>
              <w:t>容量：≥1L。</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背包：</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rPr>
              <w:t xml:space="preserve">类型：双肩背包； </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rPr>
              <w:t xml:space="preserve">容量：≥40L； </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rPr>
              <w:t xml:space="preserve">颜色：火焰蓝； </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rPr>
              <w:t>外表材质：防撕裂，防水、耐磨；</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九、消防员方位灯</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rPr>
              <w:t>佩戴方式：肩夹式；</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rPr>
              <w:t>防护等级≥IP68；防爆等级:ExibIICT4Gb</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rPr>
              <w:t>连续工作时间≥24小时；</w:t>
            </w:r>
          </w:p>
        </w:tc>
      </w:tr>
      <w:tr>
        <w:tblPrEx>
          <w:tblCellMar>
            <w:top w:w="0" w:type="dxa"/>
            <w:left w:w="108" w:type="dxa"/>
            <w:bottom w:w="0" w:type="dxa"/>
            <w:right w:w="108" w:type="dxa"/>
          </w:tblCellMar>
        </w:tblPrEx>
        <w:trPr>
          <w:trHeight w:val="308" w:hRule="atLeast"/>
          <w:jc w:val="center"/>
        </w:trPr>
        <w:tc>
          <w:tcPr>
            <w:tcW w:w="436"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p>
        </w:tc>
        <w:tc>
          <w:tcPr>
            <w:tcW w:w="799"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作训服</w:t>
            </w:r>
          </w:p>
        </w:tc>
        <w:tc>
          <w:tcPr>
            <w:tcW w:w="3764" w:type="pct"/>
            <w:tcBorders>
              <w:top w:val="nil"/>
              <w:left w:val="nil"/>
              <w:bottom w:val="single" w:color="auto" w:sz="4" w:space="0"/>
              <w:right w:val="single" w:color="auto" w:sz="4" w:space="0"/>
            </w:tcBorders>
            <w:noWrap/>
            <w:vAlign w:val="top"/>
          </w:tcPr>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1</w:t>
            </w:r>
            <w:r>
              <w:rPr>
                <w:rFonts w:hint="eastAsia" w:ascii="黑体" w:hAnsi="黑体" w:eastAsia="黑体" w:cs="黑体"/>
                <w:color w:val="auto"/>
                <w:kern w:val="0"/>
                <w:sz w:val="24"/>
                <w:szCs w:val="24"/>
                <w:highlight w:val="none"/>
                <w:lang w:val="en-US" w:eastAsia="zh-CN"/>
              </w:rPr>
              <w:t>.</w:t>
            </w:r>
            <w:r>
              <w:rPr>
                <w:rFonts w:hint="eastAsia" w:ascii="黑体" w:hAnsi="黑体" w:eastAsia="黑体" w:cs="黑体"/>
                <w:color w:val="auto"/>
                <w:kern w:val="0"/>
                <w:sz w:val="24"/>
                <w:szCs w:val="24"/>
                <w:highlight w:val="none"/>
              </w:rPr>
              <w:t>颜色：火焰蓝；面料参数：棉35%涤65%，染色牢度达到国家标准4级及以上；</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val="en-US" w:eastAsia="zh-CN"/>
              </w:rPr>
              <w:t>2.</w:t>
            </w:r>
            <w:r>
              <w:rPr>
                <w:rFonts w:hint="eastAsia" w:ascii="黑体" w:hAnsi="黑体" w:eastAsia="黑体" w:cs="黑体"/>
                <w:color w:val="auto"/>
                <w:kern w:val="0"/>
                <w:sz w:val="24"/>
                <w:szCs w:val="24"/>
                <w:highlight w:val="none"/>
              </w:rPr>
              <w:t>面料克重≥180g/㎡，面料撕破强力≥20N，甲醛含量≤75mg/kg。</w:t>
            </w:r>
          </w:p>
          <w:p>
            <w:pPr>
              <w:widowControl/>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val="en-US" w:eastAsia="zh-CN"/>
              </w:rPr>
              <w:t>3.</w:t>
            </w:r>
            <w:r>
              <w:rPr>
                <w:rFonts w:hint="eastAsia" w:ascii="黑体" w:hAnsi="黑体" w:eastAsia="黑体" w:cs="黑体"/>
                <w:color w:val="auto"/>
                <w:kern w:val="0"/>
                <w:sz w:val="24"/>
                <w:szCs w:val="24"/>
                <w:highlight w:val="none"/>
              </w:rPr>
              <w:t>款式：整体款式符合19式最新消防冬季作训服款式；服装面料缝制的接缝处，内层有垫层面料加固缝制，加强面料接缝处的牢固性。</w:t>
            </w:r>
          </w:p>
        </w:tc>
      </w:tr>
    </w:tbl>
    <w:p>
      <w:pPr>
        <w:numPr>
          <w:ilvl w:val="0"/>
          <w:numId w:val="0"/>
        </w:numPr>
        <w:spacing w:line="360" w:lineRule="auto"/>
        <w:rPr>
          <w:rFonts w:hint="eastAsia" w:ascii="黑体" w:hAnsi="黑体" w:eastAsia="黑体" w:cs="黑体"/>
          <w:b/>
          <w:bCs/>
          <w:color w:val="auto"/>
          <w:sz w:val="24"/>
          <w:szCs w:val="24"/>
          <w:highlight w:val="none"/>
          <w:lang w:val="en-US" w:eastAsia="zh-CN"/>
        </w:rPr>
      </w:pPr>
    </w:p>
    <w:p>
      <w:pPr>
        <w:numPr>
          <w:ilvl w:val="0"/>
          <w:numId w:val="0"/>
        </w:numPr>
        <w:spacing w:line="360" w:lineRule="auto"/>
        <w:rPr>
          <w:rFonts w:hint="eastAsia" w:ascii="黑体" w:hAnsi="黑体" w:eastAsia="黑体" w:cs="黑体"/>
          <w:b w:val="0"/>
          <w:bCs w:val="0"/>
          <w:color w:val="auto"/>
          <w:sz w:val="24"/>
          <w:szCs w:val="24"/>
          <w:highlight w:val="none"/>
          <w:lang w:eastAsia="zh-CN"/>
        </w:rPr>
      </w:pPr>
      <w:r>
        <w:rPr>
          <w:rFonts w:hint="eastAsia" w:ascii="黑体" w:hAnsi="黑体" w:eastAsia="黑体" w:cs="黑体"/>
          <w:color w:val="auto"/>
          <w:sz w:val="24"/>
          <w:szCs w:val="24"/>
          <w:highlight w:val="none"/>
          <w:lang w:val="en-US" w:eastAsia="zh-CN"/>
        </w:rPr>
        <w:t>备注：1.</w:t>
      </w:r>
      <w:r>
        <w:rPr>
          <w:rFonts w:hint="eastAsia" w:ascii="黑体" w:hAnsi="黑体" w:eastAsia="黑体" w:cs="黑体"/>
          <w:b w:val="0"/>
          <w:bCs w:val="0"/>
          <w:color w:val="auto"/>
          <w:sz w:val="24"/>
          <w:szCs w:val="24"/>
          <w:highlight w:val="none"/>
          <w:lang w:val="en-US" w:eastAsia="zh-CN"/>
        </w:rPr>
        <w:t>投标人需提供以上所有产品的</w:t>
      </w:r>
      <w:r>
        <w:rPr>
          <w:rFonts w:hint="eastAsia" w:ascii="黑体" w:hAnsi="黑体" w:eastAsia="黑体" w:cs="黑体"/>
          <w:b w:val="0"/>
          <w:bCs w:val="0"/>
          <w:color w:val="auto"/>
          <w:sz w:val="24"/>
          <w:szCs w:val="24"/>
          <w:highlight w:val="none"/>
        </w:rPr>
        <w:t>产品技术规格书(或使用说明书)</w:t>
      </w:r>
      <w:r>
        <w:rPr>
          <w:rFonts w:hint="eastAsia" w:ascii="黑体" w:hAnsi="黑体" w:eastAsia="黑体" w:cs="黑体"/>
          <w:b w:val="0"/>
          <w:bCs w:val="0"/>
          <w:color w:val="auto"/>
          <w:sz w:val="24"/>
          <w:szCs w:val="24"/>
          <w:highlight w:val="none"/>
          <w:lang w:eastAsia="zh-CN"/>
        </w:rPr>
        <w:t>。</w:t>
      </w:r>
    </w:p>
    <w:p>
      <w:pPr>
        <w:spacing w:line="360" w:lineRule="auto"/>
        <w:ind w:firstLine="720" w:firstLineChars="300"/>
        <w:rPr>
          <w:rFonts w:hint="eastAsia" w:ascii="黑体" w:hAnsi="黑体" w:eastAsia="黑体" w:cs="黑体"/>
          <w:b/>
          <w:bCs/>
          <w:color w:val="auto"/>
          <w:sz w:val="24"/>
          <w:szCs w:val="24"/>
          <w:highlight w:val="none"/>
          <w:lang w:val="en-US" w:eastAsia="zh-CN"/>
        </w:rPr>
      </w:pPr>
      <w:r>
        <w:rPr>
          <w:rFonts w:hint="eastAsia" w:ascii="黑体" w:hAnsi="黑体" w:eastAsia="黑体" w:cs="黑体"/>
          <w:b w:val="0"/>
          <w:bCs w:val="0"/>
          <w:strike w:val="0"/>
          <w:dstrike w:val="0"/>
          <w:color w:val="auto"/>
          <w:sz w:val="24"/>
          <w:szCs w:val="24"/>
          <w:highlight w:val="none"/>
          <w:u w:val="none"/>
          <w:lang w:val="en-US" w:eastAsia="zh-CN"/>
        </w:rPr>
        <w:t>2.</w:t>
      </w:r>
      <w:r>
        <w:rPr>
          <w:rFonts w:hint="eastAsia" w:ascii="黑体" w:hAnsi="黑体" w:eastAsia="黑体" w:cs="黑体"/>
          <w:b/>
          <w:bCs/>
          <w:strike w:val="0"/>
          <w:dstrike w:val="0"/>
          <w:color w:val="auto"/>
          <w:sz w:val="24"/>
          <w:szCs w:val="24"/>
          <w:highlight w:val="none"/>
          <w:u w:val="none"/>
          <w:lang w:val="en-US" w:eastAsia="zh-CN"/>
        </w:rPr>
        <w:t>以上标注“★或▲”号的技术参数须提供中国国家认证认可监督管理委员会颁发的具有CMA或CNAS资格的检测机构出具的检测报告佐证。</w:t>
      </w:r>
    </w:p>
    <w:p>
      <w:pPr>
        <w:numPr>
          <w:ilvl w:val="0"/>
          <w:numId w:val="0"/>
        </w:numPr>
        <w:spacing w:line="360" w:lineRule="auto"/>
        <w:ind w:firstLine="722" w:firstLineChars="300"/>
        <w:rPr>
          <w:rFonts w:hint="eastAsia" w:ascii="黑体" w:hAnsi="黑体" w:eastAsia="黑体" w:cs="黑体"/>
          <w:b/>
          <w:bCs/>
          <w:color w:val="auto"/>
          <w:sz w:val="24"/>
          <w:szCs w:val="24"/>
          <w:highlight w:val="none"/>
          <w:u w:val="double"/>
          <w:lang w:val="en-US" w:eastAsia="zh-CN"/>
        </w:rPr>
      </w:pPr>
    </w:p>
    <w:p>
      <w:pPr>
        <w:numPr>
          <w:ilvl w:val="0"/>
          <w:numId w:val="0"/>
        </w:numPr>
        <w:spacing w:line="360" w:lineRule="auto"/>
        <w:ind w:firstLine="722" w:firstLineChars="300"/>
        <w:rPr>
          <w:rFonts w:hint="default" w:ascii="黑体" w:hAnsi="黑体" w:eastAsia="黑体" w:cs="黑体"/>
          <w:b/>
          <w:bCs/>
          <w:color w:val="auto"/>
          <w:sz w:val="24"/>
          <w:szCs w:val="24"/>
          <w:highlight w:val="none"/>
          <w:u w:val="double"/>
          <w:lang w:val="en-US" w:eastAsia="zh-CN"/>
        </w:rPr>
      </w:pPr>
      <w:r>
        <w:rPr>
          <w:rFonts w:hint="eastAsia" w:ascii="黑体" w:hAnsi="黑体" w:eastAsia="黑体" w:cs="黑体"/>
          <w:b/>
          <w:bCs/>
          <w:color w:val="auto"/>
          <w:sz w:val="24"/>
          <w:szCs w:val="24"/>
          <w:highlight w:val="none"/>
          <w:u w:val="double"/>
          <w:lang w:val="en-US" w:eastAsia="zh-CN"/>
        </w:rPr>
        <w:t>样品要求：投标人须提供“序号1</w:t>
      </w:r>
      <w:r>
        <w:rPr>
          <w:rFonts w:hint="eastAsia" w:ascii="黑体" w:hAnsi="黑体" w:eastAsia="黑体" w:cs="黑体"/>
          <w:b/>
          <w:bCs/>
          <w:color w:val="auto"/>
          <w:kern w:val="0"/>
          <w:sz w:val="24"/>
          <w:szCs w:val="24"/>
          <w:highlight w:val="none"/>
          <w:u w:val="double"/>
        </w:rPr>
        <w:t>灭火阻燃服套装</w:t>
      </w:r>
      <w:r>
        <w:rPr>
          <w:rFonts w:hint="eastAsia" w:ascii="黑体" w:hAnsi="黑体" w:eastAsia="黑体" w:cs="黑体"/>
          <w:b/>
          <w:bCs/>
          <w:color w:val="auto"/>
          <w:sz w:val="24"/>
          <w:szCs w:val="24"/>
          <w:highlight w:val="none"/>
          <w:u w:val="double"/>
          <w:lang w:val="en-US" w:eastAsia="zh-CN"/>
        </w:rPr>
        <w:t>”样品一套，于投标截止时间前送达开标地点，由代理机构签收。未中标人的样品于中标结果公示后至招标代理机构指定地点自行领回，中标人的样品作为验收依据。</w:t>
      </w:r>
    </w:p>
    <w:p>
      <w:pPr>
        <w:pStyle w:val="8"/>
        <w:spacing w:line="360" w:lineRule="auto"/>
        <w:jc w:val="both"/>
        <w:outlineLvl w:val="2"/>
        <w:rPr>
          <w:rFonts w:hint="eastAsia" w:ascii="黑体" w:hAnsi="黑体" w:eastAsia="黑体" w:cs="黑体"/>
          <w:b/>
          <w:color w:val="auto"/>
          <w:sz w:val="24"/>
          <w:szCs w:val="24"/>
          <w:highlight w:val="none"/>
        </w:rPr>
      </w:pPr>
    </w:p>
    <w:p>
      <w:pPr>
        <w:numPr>
          <w:ilvl w:val="0"/>
          <w:numId w:val="0"/>
        </w:numPr>
        <w:spacing w:line="360" w:lineRule="auto"/>
        <w:rPr>
          <w:rFonts w:hint="eastAsia" w:ascii="黑体" w:hAnsi="黑体" w:eastAsia="黑体" w:cs="黑体"/>
          <w:b/>
          <w:bCs/>
          <w:color w:val="auto"/>
          <w:kern w:val="0"/>
          <w:sz w:val="24"/>
          <w:szCs w:val="24"/>
          <w:highlight w:val="none"/>
          <w:lang w:val="en-US" w:eastAsia="zh-CN"/>
        </w:rPr>
      </w:pPr>
      <w:r>
        <w:rPr>
          <w:rFonts w:hint="eastAsia" w:ascii="黑体" w:hAnsi="黑体" w:eastAsia="黑体" w:cs="黑体"/>
          <w:b/>
          <w:bCs/>
          <w:color w:val="auto"/>
          <w:sz w:val="24"/>
          <w:szCs w:val="24"/>
          <w:highlight w:val="none"/>
          <w:lang w:val="en-US" w:eastAsia="zh-CN"/>
        </w:rPr>
        <w:t>合同包三：</w:t>
      </w:r>
      <w:r>
        <w:rPr>
          <w:rFonts w:hint="eastAsia" w:ascii="黑体" w:hAnsi="黑体" w:eastAsia="黑体" w:cs="黑体"/>
          <w:b/>
          <w:bCs/>
          <w:color w:val="auto"/>
          <w:kern w:val="0"/>
          <w:sz w:val="24"/>
          <w:szCs w:val="24"/>
          <w:highlight w:val="none"/>
        </w:rPr>
        <w:t>野外生存类</w:t>
      </w:r>
    </w:p>
    <w:tbl>
      <w:tblPr>
        <w:tblStyle w:val="5"/>
        <w:tblW w:w="5000" w:type="pct"/>
        <w:jc w:val="center"/>
        <w:tblLayout w:type="fixed"/>
        <w:tblCellMar>
          <w:top w:w="0" w:type="dxa"/>
          <w:left w:w="108" w:type="dxa"/>
          <w:bottom w:w="0" w:type="dxa"/>
          <w:right w:w="108" w:type="dxa"/>
        </w:tblCellMar>
      </w:tblPr>
      <w:tblGrid>
        <w:gridCol w:w="818"/>
        <w:gridCol w:w="1183"/>
        <w:gridCol w:w="7853"/>
      </w:tblGrid>
      <w:tr>
        <w:tblPrEx>
          <w:tblCellMar>
            <w:top w:w="0" w:type="dxa"/>
            <w:left w:w="108" w:type="dxa"/>
            <w:bottom w:w="0" w:type="dxa"/>
            <w:right w:w="108" w:type="dxa"/>
          </w:tblCellMar>
        </w:tblPrEx>
        <w:trPr>
          <w:trHeight w:val="270" w:hRule="atLeast"/>
          <w:tblHeader/>
          <w:jc w:val="center"/>
        </w:trPr>
        <w:tc>
          <w:tcPr>
            <w:tcW w:w="41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序号</w:t>
            </w:r>
          </w:p>
        </w:tc>
        <w:tc>
          <w:tcPr>
            <w:tcW w:w="600"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名称</w:t>
            </w:r>
          </w:p>
        </w:tc>
        <w:tc>
          <w:tcPr>
            <w:tcW w:w="3984"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主要性能指标</w:t>
            </w:r>
          </w:p>
        </w:tc>
      </w:tr>
      <w:tr>
        <w:tblPrEx>
          <w:tblCellMar>
            <w:top w:w="0" w:type="dxa"/>
            <w:left w:w="108" w:type="dxa"/>
            <w:bottom w:w="0" w:type="dxa"/>
            <w:right w:w="108" w:type="dxa"/>
          </w:tblCellMar>
        </w:tblPrEx>
        <w:trPr>
          <w:trHeight w:val="315" w:hRule="atLeast"/>
          <w:jc w:val="center"/>
        </w:trPr>
        <w:tc>
          <w:tcPr>
            <w:tcW w:w="41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w:t>
            </w:r>
          </w:p>
        </w:tc>
        <w:tc>
          <w:tcPr>
            <w:tcW w:w="600"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望远镜</w:t>
            </w:r>
          </w:p>
        </w:tc>
        <w:tc>
          <w:tcPr>
            <w:tcW w:w="3984"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1、放大倍率：≥10.0×；</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2、物镜口径≥50mm；</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3、视场：≥6°；</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4、出瞳距离：≥17mm；</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5、出瞳直径：≥5mm；</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6、最近调焦距离：≤7m；</w:t>
            </w:r>
          </w:p>
        </w:tc>
      </w:tr>
      <w:tr>
        <w:tblPrEx>
          <w:tblCellMar>
            <w:top w:w="0" w:type="dxa"/>
            <w:left w:w="108" w:type="dxa"/>
            <w:bottom w:w="0" w:type="dxa"/>
            <w:right w:w="108" w:type="dxa"/>
          </w:tblCellMar>
        </w:tblPrEx>
        <w:trPr>
          <w:trHeight w:val="315" w:hRule="atLeast"/>
          <w:jc w:val="center"/>
        </w:trPr>
        <w:tc>
          <w:tcPr>
            <w:tcW w:w="41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val="en-US" w:eastAsia="zh-CN"/>
              </w:rPr>
              <w:t>2</w:t>
            </w:r>
          </w:p>
        </w:tc>
        <w:tc>
          <w:tcPr>
            <w:tcW w:w="600"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对讲机</w:t>
            </w:r>
          </w:p>
        </w:tc>
        <w:tc>
          <w:tcPr>
            <w:tcW w:w="3984"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公专融合（4G全网通+数字UV双段专网），专网频率范围需包含甚高频；(UHF:350-390MHz；400-480MHz；VHF:134-176MHz)；</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专网信道数≤1000个；</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具有组呼、组广播、广播、单呼、好友选呼等功能；</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支持高中低功率（10W/5W/1.5W）；</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4.支持</w:t>
            </w:r>
            <w:r>
              <w:rPr>
                <w:rFonts w:hint="eastAsia" w:ascii="黑体" w:hAnsi="黑体" w:eastAsia="黑体" w:cs="黑体"/>
                <w:color w:val="auto"/>
                <w:sz w:val="24"/>
                <w:szCs w:val="24"/>
                <w:highlight w:val="none"/>
              </w:rPr>
              <w:t>北斗定位；</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防护等级≥IP67；</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b/>
                <w:bCs/>
                <w:strike w:val="0"/>
                <w:dstrike w:val="0"/>
                <w:color w:val="auto"/>
                <w:sz w:val="24"/>
                <w:szCs w:val="24"/>
                <w:highlight w:val="none"/>
                <w:u w:val="none"/>
                <w:lang w:val="en-US" w:eastAsia="zh-CN"/>
              </w:rPr>
              <w:t>★</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应可数字接入到三明市应急局融合通信平台，满足平台调用，调看应用要求。</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供应商需提供承诺函，要求附后</w:t>
            </w:r>
            <w:r>
              <w:rPr>
                <w:rFonts w:hint="eastAsia" w:ascii="黑体" w:hAnsi="黑体" w:eastAsia="黑体" w:cs="黑体"/>
                <w:color w:val="auto"/>
                <w:sz w:val="24"/>
                <w:szCs w:val="24"/>
                <w:highlight w:val="none"/>
                <w:lang w:eastAsia="zh-CN"/>
              </w:rPr>
              <w:t>）</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b/>
                <w:bCs/>
                <w:strike w:val="0"/>
                <w:dstrike w:val="0"/>
                <w:color w:val="auto"/>
                <w:sz w:val="24"/>
                <w:szCs w:val="24"/>
                <w:highlight w:val="none"/>
                <w:u w:val="none"/>
                <w:lang w:val="en-US" w:eastAsia="zh-CN"/>
              </w:rPr>
              <w:t>★6.包含3年音视频流量服务（4G物联网卡）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供应商需提供承诺函，要求附后</w:t>
            </w:r>
            <w:r>
              <w:rPr>
                <w:rFonts w:hint="eastAsia" w:ascii="黑体" w:hAnsi="黑体" w:eastAsia="黑体" w:cs="黑体"/>
                <w:color w:val="auto"/>
                <w:sz w:val="24"/>
                <w:szCs w:val="24"/>
                <w:highlight w:val="none"/>
                <w:lang w:eastAsia="zh-CN"/>
              </w:rPr>
              <w:t>）</w:t>
            </w:r>
          </w:p>
        </w:tc>
      </w:tr>
      <w:tr>
        <w:tblPrEx>
          <w:tblCellMar>
            <w:top w:w="0" w:type="dxa"/>
            <w:left w:w="108" w:type="dxa"/>
            <w:bottom w:w="0" w:type="dxa"/>
            <w:right w:w="108" w:type="dxa"/>
          </w:tblCellMar>
        </w:tblPrEx>
        <w:trPr>
          <w:trHeight w:val="315" w:hRule="atLeast"/>
          <w:jc w:val="center"/>
        </w:trPr>
        <w:tc>
          <w:tcPr>
            <w:tcW w:w="41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val="en-US" w:eastAsia="zh-CN"/>
              </w:rPr>
              <w:t>3</w:t>
            </w:r>
          </w:p>
        </w:tc>
        <w:tc>
          <w:tcPr>
            <w:tcW w:w="600"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卫星背负站</w:t>
            </w:r>
          </w:p>
        </w:tc>
        <w:tc>
          <w:tcPr>
            <w:tcW w:w="3984"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1、天线形式：平板天线；等效口径：≥0.35米，</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2、工作频率：接收：10.70～12.75GHz；发射：13.75～14.50GHz；</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3、发射增益：≥32.5dBi，接收增益：≥31.5dBi；</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4、整机功耗：≤60W；</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5、极化隔离度：≥30dB；</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6、设备采用一体化设计（包含平板卫星天线、功放、调制解调器、内置锂电池、支架等），</w:t>
            </w:r>
            <w:r>
              <w:rPr>
                <w:rFonts w:hint="eastAsia" w:ascii="黑体" w:hAnsi="黑体" w:eastAsia="黑体" w:cs="黑体"/>
                <w:color w:val="auto"/>
                <w:sz w:val="24"/>
                <w:szCs w:val="24"/>
                <w:highlight w:val="none"/>
                <w:lang w:val="en-US" w:eastAsia="zh-CN"/>
              </w:rPr>
              <w:t>无需拼装，</w:t>
            </w:r>
            <w:r>
              <w:rPr>
                <w:rFonts w:hint="eastAsia" w:ascii="黑体" w:hAnsi="黑体" w:eastAsia="黑体" w:cs="黑体"/>
                <w:color w:val="auto"/>
                <w:sz w:val="24"/>
                <w:szCs w:val="24"/>
                <w:highlight w:val="none"/>
              </w:rPr>
              <w:t>设备整机重量：≤6Kg；</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7、天线环境适应性要求：</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防护等级：≥IP65；</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8、专网卫星调制解调器指标须满足：1）须接入国家应急部卫星主站网管系统；2）调制解调方式：前返向载波都至少包含 BPSK、QPSK；3）编码方式：LDPC、TPC（测试业务吞吐量不低于1Mbps）</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9、定位：支持北斗定位；</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10、数据接口：1个以太网接口、WIFI</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b/>
                <w:bCs/>
                <w:strike w:val="0"/>
                <w:dstrike w:val="0"/>
                <w:color w:val="auto"/>
                <w:sz w:val="24"/>
                <w:szCs w:val="24"/>
                <w:highlight w:val="none"/>
                <w:u w:val="none"/>
                <w:lang w:val="en-US" w:eastAsia="zh-CN"/>
              </w:rPr>
              <w:t>★</w:t>
            </w:r>
            <w:r>
              <w:rPr>
                <w:rFonts w:hint="eastAsia" w:ascii="黑体" w:hAnsi="黑体" w:eastAsia="黑体" w:cs="黑体"/>
                <w:color w:val="auto"/>
                <w:sz w:val="24"/>
                <w:szCs w:val="24"/>
                <w:highlight w:val="none"/>
              </w:rPr>
              <w:t>11、对星时间 ≤3min</w:t>
            </w:r>
          </w:p>
          <w:p>
            <w:pPr>
              <w:numPr>
                <w:ilvl w:val="0"/>
                <w:numId w:val="0"/>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12、</w:t>
            </w:r>
            <w:r>
              <w:rPr>
                <w:rFonts w:hint="eastAsia" w:ascii="黑体" w:hAnsi="黑体" w:eastAsia="黑体" w:cs="黑体"/>
                <w:color w:val="auto"/>
                <w:sz w:val="24"/>
                <w:szCs w:val="24"/>
                <w:highlight w:val="none"/>
              </w:rPr>
              <w:t>外接供电：电源适配器，内置电池模块（可拆卸）</w:t>
            </w:r>
          </w:p>
          <w:p>
            <w:pPr>
              <w:numPr>
                <w:ilvl w:val="0"/>
                <w:numId w:val="0"/>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13、工作时长：</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2小时（内置电池）</w:t>
            </w:r>
          </w:p>
        </w:tc>
      </w:tr>
      <w:tr>
        <w:tblPrEx>
          <w:tblCellMar>
            <w:top w:w="0" w:type="dxa"/>
            <w:left w:w="108" w:type="dxa"/>
            <w:bottom w:w="0" w:type="dxa"/>
            <w:right w:w="108" w:type="dxa"/>
          </w:tblCellMar>
        </w:tblPrEx>
        <w:trPr>
          <w:trHeight w:val="315" w:hRule="atLeast"/>
          <w:jc w:val="center"/>
        </w:trPr>
        <w:tc>
          <w:tcPr>
            <w:tcW w:w="41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val="en-US" w:eastAsia="zh-CN"/>
              </w:rPr>
              <w:t>4</w:t>
            </w:r>
          </w:p>
        </w:tc>
        <w:tc>
          <w:tcPr>
            <w:tcW w:w="600"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rPr>
              <w:t>小型无人机</w:t>
            </w:r>
            <w:r>
              <w:rPr>
                <w:rFonts w:hint="eastAsia" w:ascii="黑体" w:hAnsi="黑体" w:eastAsia="黑体" w:cs="黑体"/>
                <w:color w:val="auto"/>
                <w:kern w:val="0"/>
                <w:sz w:val="24"/>
                <w:szCs w:val="24"/>
                <w:highlight w:val="none"/>
                <w:lang w:eastAsia="zh-CN"/>
              </w:rPr>
              <w:t>（核心产品）</w:t>
            </w:r>
          </w:p>
        </w:tc>
        <w:tc>
          <w:tcPr>
            <w:tcW w:w="3984"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1、无人机结构：四旋翼</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2、空机重量：≤5kg（不含电池、挂载）；</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3、飞机尺寸：轴距≤900mm，机长≤1200mm，机高≤500mm；</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4、最大起飞重量：≥10kg；</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5、最大载重：≥2.5kg；</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b/>
                <w:bCs/>
                <w:strike w:val="0"/>
                <w:dstrike w:val="0"/>
                <w:color w:val="auto"/>
                <w:sz w:val="24"/>
                <w:szCs w:val="24"/>
                <w:highlight w:val="none"/>
                <w:u w:val="none"/>
                <w:lang w:val="en-US" w:eastAsia="zh-CN"/>
              </w:rPr>
              <w:t>★</w:t>
            </w:r>
            <w:r>
              <w:rPr>
                <w:rFonts w:hint="eastAsia" w:ascii="黑体" w:hAnsi="黑体" w:eastAsia="黑体" w:cs="黑体"/>
                <w:color w:val="auto"/>
                <w:sz w:val="24"/>
                <w:szCs w:val="24"/>
                <w:highlight w:val="none"/>
              </w:rPr>
              <w:t>6、续航飞行时间：空载≥50min 满载：≥25min；</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7、飞行半径：≥10km；</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8、抗风能力：≥6 级；</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9、防护级别：≥IP54；</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10、图传频率：2.4GHz；</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11、机臂可折叠；</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12、避障系统：≥2 向，距离≥10m；</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13、垂直定位精度：≤±0.1m（RTK），水平定位精度≤±0.1m（RTK）；</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14、无人机前置 FPV 镜头；</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15、挂载兼容性：机身挂载模块化设计，支持单光/双光跟踪 吊舱、测绘正射相机、倾斜相机等多种载荷的使用需求；</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16、具有低电量返航功能；</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17、具有起飞前自检功能；</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18、具备 4G、5G 链路功能，能够将航电系统健康状态实时 同步到云端和地面站软件上；</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19、地面站参数：</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1）通讯距离：≥20Km；</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2）工作温度：20℃~60℃；</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3）电池容量：≥3500mah。</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20、摄像头视频分辨率：≥4K；</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21、工作模式：拍照、录像；</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22、传感器：≥1/2.3 英寸CMOS</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23、最大变焦倍数：≥40倍；</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24、有效像素：≥2500 万；</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25、喊话器参数：</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1）工作温度：-20℃~40℃</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2）最大音量：≥130db</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3）有效喊话距离（无遮挡）：≥500m</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4）角度调节范围：0-90°</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26、夜视参数：</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1）传感器：≥1/1.7英寸 超星光级CMOS</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最大分辨率：≥200万像素，1920*1080，全彩</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2）≥20倍光学变焦</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3）SD卡接口：支持Micro SD卡存储≥128G</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4）支持背光补偿</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b/>
                <w:bCs/>
                <w:strike w:val="0"/>
                <w:dstrike w:val="0"/>
                <w:color w:val="auto"/>
                <w:sz w:val="24"/>
                <w:szCs w:val="24"/>
                <w:highlight w:val="none"/>
                <w:u w:val="none"/>
                <w:lang w:val="en-US" w:eastAsia="zh-CN"/>
              </w:rPr>
              <w:t>★</w:t>
            </w:r>
            <w:r>
              <w:rPr>
                <w:rFonts w:hint="eastAsia" w:ascii="黑体" w:hAnsi="黑体" w:eastAsia="黑体" w:cs="黑体"/>
                <w:color w:val="auto"/>
                <w:sz w:val="24"/>
                <w:szCs w:val="24"/>
                <w:highlight w:val="none"/>
              </w:rPr>
              <w:t>27、应可数字接入到三明市应急局融合通信平台，满足平台调用，调看应用要求。</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供应商需提供承诺函，要求附后</w:t>
            </w:r>
            <w:r>
              <w:rPr>
                <w:rFonts w:hint="eastAsia" w:ascii="黑体" w:hAnsi="黑体" w:eastAsia="黑体" w:cs="黑体"/>
                <w:color w:val="auto"/>
                <w:sz w:val="24"/>
                <w:szCs w:val="24"/>
                <w:highlight w:val="none"/>
                <w:lang w:eastAsia="zh-CN"/>
              </w:rPr>
              <w:t>）</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b/>
                <w:bCs/>
                <w:strike w:val="0"/>
                <w:dstrike w:val="0"/>
                <w:color w:val="auto"/>
                <w:sz w:val="24"/>
                <w:szCs w:val="24"/>
                <w:highlight w:val="none"/>
                <w:u w:val="none"/>
                <w:lang w:val="en-US" w:eastAsia="zh-CN"/>
              </w:rPr>
              <w:t>★</w:t>
            </w:r>
            <w:r>
              <w:rPr>
                <w:rFonts w:hint="eastAsia" w:ascii="黑体" w:hAnsi="黑体" w:eastAsia="黑体" w:cs="黑体"/>
                <w:color w:val="auto"/>
                <w:sz w:val="24"/>
                <w:szCs w:val="24"/>
                <w:highlight w:val="none"/>
                <w:lang w:val="en-US" w:eastAsia="zh-CN"/>
              </w:rPr>
              <w:t>28</w:t>
            </w:r>
            <w:r>
              <w:rPr>
                <w:rFonts w:hint="eastAsia" w:ascii="黑体" w:hAnsi="黑体" w:eastAsia="黑体" w:cs="黑体"/>
                <w:color w:val="auto"/>
                <w:sz w:val="24"/>
                <w:szCs w:val="24"/>
                <w:highlight w:val="none"/>
              </w:rPr>
              <w:t>、包含3年音视频流量服务（4G物联网卡）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供应商需提供承诺函，要求附后</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w:t>
            </w:r>
          </w:p>
        </w:tc>
      </w:tr>
      <w:tr>
        <w:tblPrEx>
          <w:tblCellMar>
            <w:top w:w="0" w:type="dxa"/>
            <w:left w:w="108" w:type="dxa"/>
            <w:bottom w:w="0" w:type="dxa"/>
            <w:right w:w="108" w:type="dxa"/>
          </w:tblCellMar>
        </w:tblPrEx>
        <w:trPr>
          <w:trHeight w:val="315" w:hRule="atLeast"/>
          <w:jc w:val="center"/>
        </w:trPr>
        <w:tc>
          <w:tcPr>
            <w:tcW w:w="41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val="en-US" w:eastAsia="zh-CN"/>
              </w:rPr>
              <w:t>5</w:t>
            </w:r>
          </w:p>
        </w:tc>
        <w:tc>
          <w:tcPr>
            <w:tcW w:w="600"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中型无人机</w:t>
            </w:r>
          </w:p>
        </w:tc>
        <w:tc>
          <w:tcPr>
            <w:tcW w:w="3984"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1、飞机布局类型：使用六个多旋翼臂；</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2、对称电机轴距：≤1650mm；</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3、机身重量：≤9kg（不含电池和挂载）；</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4、最大载重：≥10kg；</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5、最大起飞重量：≥25kg；</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6、续航飞行时间：空载≥55min 满载：≥35min；</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7、测控半径：≥20km；</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8、最大爬升率：≥5m/s；</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9、具备无人为干预情况下，一级电压报警时能够自动返航，二级电压报警时能触发自动降落；</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10、具有可快速编辑航线、航点参数，可自动生成仿制地形起伏的航点，自动生成降落航线，航线中断时可继续复飞；</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11、具备 4G、5G 链路功能，能够将航点系统健康状态实时同步到云端和地面站软件上；</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12、照明参数：</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1）探照距离：≥100m</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2）功能模式：常亮、爆闪</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13、喊话参数：</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1）最大音量：≥130db</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2）有效喊话距离（无遮挡）：≥500m</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3）角度调节范围：0-90°</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14、夜视参数：</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1）传感器：≥1/1.7英寸 超星光级CMOS</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最大分辨率：≥200万像素，1920*1080，全彩</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2）≥20倍光学变焦</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3）SD卡接口：支持Micro SD卡存储≥128G</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4）支持背光补偿</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b/>
                <w:bCs/>
                <w:strike w:val="0"/>
                <w:dstrike w:val="0"/>
                <w:color w:val="auto"/>
                <w:sz w:val="24"/>
                <w:szCs w:val="24"/>
                <w:highlight w:val="none"/>
                <w:u w:val="none"/>
                <w:lang w:val="en-US" w:eastAsia="zh-CN"/>
              </w:rPr>
              <w:t>★</w:t>
            </w:r>
            <w:r>
              <w:rPr>
                <w:rFonts w:hint="eastAsia" w:ascii="黑体" w:hAnsi="黑体" w:eastAsia="黑体" w:cs="黑体"/>
                <w:color w:val="auto"/>
                <w:sz w:val="24"/>
                <w:szCs w:val="24"/>
                <w:highlight w:val="none"/>
              </w:rPr>
              <w:t>15、应可数字接入到三明市应急局融合通信平台，满足平台调用，调看应用要求。</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供应商需提供承诺函，要求附后</w:t>
            </w:r>
            <w:r>
              <w:rPr>
                <w:rFonts w:hint="eastAsia" w:ascii="黑体" w:hAnsi="黑体" w:eastAsia="黑体" w:cs="黑体"/>
                <w:color w:val="auto"/>
                <w:sz w:val="24"/>
                <w:szCs w:val="24"/>
                <w:highlight w:val="none"/>
                <w:lang w:eastAsia="zh-CN"/>
              </w:rPr>
              <w:t>）</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b/>
                <w:bCs/>
                <w:strike w:val="0"/>
                <w:dstrike w:val="0"/>
                <w:color w:val="auto"/>
                <w:sz w:val="24"/>
                <w:szCs w:val="24"/>
                <w:highlight w:val="none"/>
                <w:u w:val="none"/>
                <w:lang w:val="en-US" w:eastAsia="zh-CN"/>
              </w:rPr>
              <w:t>★</w:t>
            </w: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、包含3年音视频流量服务（4G物联网卡）；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供应商需提供承诺函，要求附后</w:t>
            </w:r>
            <w:r>
              <w:rPr>
                <w:rFonts w:hint="eastAsia" w:ascii="黑体" w:hAnsi="黑体" w:eastAsia="黑体" w:cs="黑体"/>
                <w:color w:val="auto"/>
                <w:sz w:val="24"/>
                <w:szCs w:val="24"/>
                <w:highlight w:val="none"/>
                <w:lang w:eastAsia="zh-CN"/>
              </w:rPr>
              <w:t>）</w:t>
            </w:r>
          </w:p>
        </w:tc>
      </w:tr>
    </w:tbl>
    <w:p>
      <w:pPr>
        <w:numPr>
          <w:ilvl w:val="0"/>
          <w:numId w:val="0"/>
        </w:numPr>
        <w:spacing w:line="360" w:lineRule="auto"/>
        <w:rPr>
          <w:rFonts w:hint="eastAsia" w:ascii="黑体" w:hAnsi="黑体" w:eastAsia="黑体" w:cs="黑体"/>
          <w:b/>
          <w:bCs/>
          <w:color w:val="auto"/>
          <w:kern w:val="0"/>
          <w:sz w:val="24"/>
          <w:szCs w:val="24"/>
          <w:highlight w:val="none"/>
          <w:lang w:val="en-US" w:eastAsia="zh-CN"/>
        </w:rPr>
      </w:pPr>
    </w:p>
    <w:p>
      <w:pPr>
        <w:numPr>
          <w:ilvl w:val="0"/>
          <w:numId w:val="0"/>
        </w:numPr>
        <w:spacing w:line="360" w:lineRule="auto"/>
        <w:rPr>
          <w:rFonts w:hint="eastAsia" w:ascii="黑体" w:hAnsi="黑体" w:eastAsia="黑体" w:cs="黑体"/>
          <w:b w:val="0"/>
          <w:bCs w:val="0"/>
          <w:color w:val="auto"/>
          <w:sz w:val="24"/>
          <w:szCs w:val="24"/>
          <w:highlight w:val="none"/>
          <w:lang w:eastAsia="zh-CN"/>
        </w:rPr>
      </w:pPr>
      <w:r>
        <w:rPr>
          <w:rFonts w:hint="eastAsia" w:ascii="黑体" w:hAnsi="黑体" w:eastAsia="黑体" w:cs="黑体"/>
          <w:color w:val="auto"/>
          <w:sz w:val="24"/>
          <w:szCs w:val="24"/>
          <w:highlight w:val="none"/>
          <w:lang w:val="en-US" w:eastAsia="zh-CN"/>
        </w:rPr>
        <w:t>备注：1.</w:t>
      </w:r>
      <w:r>
        <w:rPr>
          <w:rFonts w:hint="eastAsia" w:ascii="黑体" w:hAnsi="黑体" w:eastAsia="黑体" w:cs="黑体"/>
          <w:b w:val="0"/>
          <w:bCs w:val="0"/>
          <w:color w:val="auto"/>
          <w:sz w:val="24"/>
          <w:szCs w:val="24"/>
          <w:highlight w:val="none"/>
          <w:lang w:val="en-US" w:eastAsia="zh-CN"/>
        </w:rPr>
        <w:t>投标人需提供以上所有产品的</w:t>
      </w:r>
      <w:r>
        <w:rPr>
          <w:rFonts w:hint="eastAsia" w:ascii="黑体" w:hAnsi="黑体" w:eastAsia="黑体" w:cs="黑体"/>
          <w:b w:val="0"/>
          <w:bCs w:val="0"/>
          <w:color w:val="auto"/>
          <w:sz w:val="24"/>
          <w:szCs w:val="24"/>
          <w:highlight w:val="none"/>
        </w:rPr>
        <w:t>产品技术规格书(或使用说明书)</w:t>
      </w:r>
      <w:r>
        <w:rPr>
          <w:rFonts w:hint="eastAsia" w:ascii="黑体" w:hAnsi="黑体" w:eastAsia="黑体" w:cs="黑体"/>
          <w:b w:val="0"/>
          <w:bCs w:val="0"/>
          <w:color w:val="auto"/>
          <w:sz w:val="24"/>
          <w:szCs w:val="24"/>
          <w:highlight w:val="none"/>
          <w:lang w:eastAsia="zh-CN"/>
        </w:rPr>
        <w:t>。</w:t>
      </w:r>
    </w:p>
    <w:p>
      <w:pPr>
        <w:pStyle w:val="8"/>
        <w:spacing w:line="360" w:lineRule="auto"/>
        <w:jc w:val="both"/>
        <w:outlineLvl w:val="2"/>
        <w:rPr>
          <w:rFonts w:hint="eastAsia" w:ascii="黑体" w:hAnsi="黑体" w:eastAsia="黑体" w:cs="黑体"/>
          <w:b/>
          <w:color w:val="auto"/>
          <w:sz w:val="24"/>
          <w:szCs w:val="24"/>
          <w:highlight w:val="none"/>
        </w:rPr>
      </w:pPr>
      <w:r>
        <w:rPr>
          <w:rFonts w:hint="eastAsia" w:ascii="黑体" w:hAnsi="黑体" w:eastAsia="黑体" w:cs="黑体"/>
          <w:b w:val="0"/>
          <w:bCs w:val="0"/>
          <w:strike w:val="0"/>
          <w:dstrike w:val="0"/>
          <w:color w:val="auto"/>
          <w:sz w:val="24"/>
          <w:szCs w:val="24"/>
          <w:highlight w:val="none"/>
          <w:u w:val="none"/>
          <w:lang w:val="en-US" w:eastAsia="zh-CN"/>
        </w:rPr>
        <w:t>2.</w:t>
      </w:r>
      <w:r>
        <w:rPr>
          <w:rFonts w:hint="eastAsia" w:ascii="黑体" w:hAnsi="黑体" w:eastAsia="黑体" w:cs="黑体"/>
          <w:b/>
          <w:bCs/>
          <w:strike w:val="0"/>
          <w:dstrike w:val="0"/>
          <w:color w:val="auto"/>
          <w:sz w:val="24"/>
          <w:szCs w:val="24"/>
          <w:highlight w:val="none"/>
          <w:u w:val="none"/>
          <w:lang w:val="en-US" w:eastAsia="zh-CN"/>
        </w:rPr>
        <w:t>以上标注“★或▲”号的技术参数须提供中国国家认证认可监督管理委员会颁发的具有CMA或CNAS资格的检测机构出具的检测报告佐证。</w:t>
      </w:r>
    </w:p>
    <w:p>
      <w:pPr>
        <w:pStyle w:val="8"/>
        <w:jc w:val="both"/>
        <w:outlineLvl w:val="2"/>
        <w:rPr>
          <w:rFonts w:hint="eastAsia" w:ascii="黑体" w:hAnsi="黑体" w:eastAsia="黑体" w:cs="黑体"/>
          <w:b/>
          <w:color w:val="auto"/>
          <w:sz w:val="24"/>
          <w:szCs w:val="24"/>
          <w:highlight w:val="none"/>
        </w:rPr>
      </w:pPr>
    </w:p>
    <w:p>
      <w:pPr>
        <w:pStyle w:val="8"/>
        <w:ind w:firstLine="481" w:firstLineChars="200"/>
        <w:jc w:val="both"/>
        <w:outlineLvl w:val="2"/>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承诺函</w:t>
      </w:r>
    </w:p>
    <w:p>
      <w:pPr>
        <w:pStyle w:val="8"/>
        <w:ind w:firstLine="481" w:firstLineChars="200"/>
        <w:jc w:val="both"/>
        <w:outlineLvl w:val="2"/>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lang w:val="en-US" w:eastAsia="zh-CN"/>
        </w:rPr>
        <w:t>承诺函</w:t>
      </w:r>
      <w:r>
        <w:rPr>
          <w:rFonts w:hint="eastAsia" w:ascii="黑体" w:hAnsi="黑体" w:eastAsia="黑体" w:cs="黑体"/>
          <w:b/>
          <w:color w:val="auto"/>
          <w:sz w:val="24"/>
          <w:szCs w:val="24"/>
          <w:highlight w:val="none"/>
        </w:rPr>
        <w:t>至少包含以下内容：供应商需承诺按照招标文件要求提供“3年音视频流量服务（4G物联网卡）”，在货物最终验收之前需按照该合同包的技术参数要求将相关设备接入到三明市应急局融合通信平台，满足平台调用，调看应用要求，否则采购人不予验收，因无法接入平台导致的项目延期所产生的一切损失均由中标人承担。</w:t>
      </w:r>
    </w:p>
    <w:p>
      <w:pPr>
        <w:pStyle w:val="8"/>
        <w:ind w:firstLine="481" w:firstLineChars="200"/>
        <w:jc w:val="both"/>
        <w:outlineLvl w:val="2"/>
        <w:rPr>
          <w:rFonts w:hint="eastAsia" w:ascii="黑体" w:hAnsi="黑体" w:eastAsia="黑体" w:cs="黑体"/>
          <w:b/>
          <w:color w:val="auto"/>
          <w:sz w:val="24"/>
          <w:szCs w:val="24"/>
          <w:highlight w:val="none"/>
        </w:rPr>
      </w:pPr>
    </w:p>
    <w:p>
      <w:pPr>
        <w:pStyle w:val="8"/>
        <w:jc w:val="both"/>
        <w:outlineLvl w:val="2"/>
        <w:rPr>
          <w:rFonts w:hint="eastAsia" w:ascii="黑体" w:hAnsi="黑体" w:eastAsia="黑体" w:cs="黑体"/>
          <w:b/>
          <w:color w:val="auto"/>
          <w:sz w:val="24"/>
          <w:szCs w:val="24"/>
          <w:highlight w:val="none"/>
        </w:rPr>
      </w:pPr>
    </w:p>
    <w:p>
      <w:pPr>
        <w:numPr>
          <w:ilvl w:val="0"/>
          <w:numId w:val="0"/>
        </w:numPr>
        <w:spacing w:line="360" w:lineRule="auto"/>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合同包4：</w:t>
      </w:r>
      <w:r>
        <w:rPr>
          <w:rFonts w:hint="eastAsia" w:ascii="黑体" w:hAnsi="黑体" w:eastAsia="黑体" w:cs="黑体"/>
          <w:b/>
          <w:bCs/>
          <w:color w:val="auto"/>
          <w:kern w:val="0"/>
          <w:sz w:val="24"/>
          <w:szCs w:val="24"/>
          <w:highlight w:val="none"/>
        </w:rPr>
        <w:t>森林消防车辆类</w:t>
      </w:r>
    </w:p>
    <w:tbl>
      <w:tblPr>
        <w:tblStyle w:val="5"/>
        <w:tblW w:w="5000" w:type="pct"/>
        <w:jc w:val="center"/>
        <w:tblLayout w:type="fixed"/>
        <w:tblCellMar>
          <w:top w:w="0" w:type="dxa"/>
          <w:left w:w="108" w:type="dxa"/>
          <w:bottom w:w="0" w:type="dxa"/>
          <w:right w:w="108" w:type="dxa"/>
        </w:tblCellMar>
      </w:tblPr>
      <w:tblGrid>
        <w:gridCol w:w="815"/>
        <w:gridCol w:w="1170"/>
        <w:gridCol w:w="7869"/>
      </w:tblGrid>
      <w:tr>
        <w:tblPrEx>
          <w:tblCellMar>
            <w:top w:w="0" w:type="dxa"/>
            <w:left w:w="108" w:type="dxa"/>
            <w:bottom w:w="0" w:type="dxa"/>
            <w:right w:w="108" w:type="dxa"/>
          </w:tblCellMar>
        </w:tblPrEx>
        <w:trPr>
          <w:trHeight w:val="315" w:hRule="atLeast"/>
          <w:jc w:val="center"/>
        </w:trPr>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b/>
                <w:bCs/>
                <w:color w:val="auto"/>
                <w:kern w:val="0"/>
                <w:sz w:val="24"/>
                <w:szCs w:val="24"/>
                <w:highlight w:val="none"/>
                <w:lang w:eastAsia="zh-CN"/>
              </w:rPr>
            </w:pPr>
            <w:r>
              <w:rPr>
                <w:rFonts w:hint="eastAsia" w:ascii="黑体" w:hAnsi="黑体" w:eastAsia="黑体" w:cs="黑体"/>
                <w:b/>
                <w:bCs/>
                <w:color w:val="auto"/>
                <w:kern w:val="0"/>
                <w:sz w:val="24"/>
                <w:szCs w:val="24"/>
                <w:highlight w:val="none"/>
              </w:rPr>
              <w:t>序号</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名称</w:t>
            </w:r>
          </w:p>
        </w:tc>
        <w:tc>
          <w:tcPr>
            <w:tcW w:w="786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rPr>
              <w:t>主要性能指标</w:t>
            </w:r>
          </w:p>
        </w:tc>
      </w:tr>
      <w:tr>
        <w:tblPrEx>
          <w:tblCellMar>
            <w:top w:w="0" w:type="dxa"/>
            <w:left w:w="108" w:type="dxa"/>
            <w:bottom w:w="0" w:type="dxa"/>
            <w:right w:w="108" w:type="dxa"/>
          </w:tblCellMar>
        </w:tblPrEx>
        <w:trPr>
          <w:trHeight w:val="308" w:hRule="atLeast"/>
          <w:jc w:val="center"/>
        </w:trPr>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w:t>
            </w:r>
          </w:p>
        </w:tc>
        <w:tc>
          <w:tcPr>
            <w:tcW w:w="117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消防</w:t>
            </w:r>
          </w:p>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水车</w:t>
            </w:r>
          </w:p>
        </w:tc>
        <w:tc>
          <w:tcPr>
            <w:tcW w:w="7869" w:type="dxa"/>
            <w:tcBorders>
              <w:top w:val="single" w:color="auto" w:sz="4" w:space="0"/>
              <w:left w:val="nil"/>
              <w:bottom w:val="single" w:color="auto" w:sz="4" w:space="0"/>
              <w:right w:val="single" w:color="auto" w:sz="4" w:space="0"/>
            </w:tcBorders>
            <w:noWrap/>
            <w:vAlign w:val="center"/>
          </w:tcPr>
          <w:p>
            <w:pPr>
              <w:numPr>
                <w:ilvl w:val="0"/>
                <w:numId w:val="1"/>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水罐容积：≥2350L；</w:t>
            </w:r>
          </w:p>
          <w:p>
            <w:pPr>
              <w:numPr>
                <w:ilvl w:val="0"/>
                <w:numId w:val="1"/>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水泵流量：≥20L/s、压力≥1.0MPa；引水时间：≤50秒；</w:t>
            </w:r>
          </w:p>
          <w:p>
            <w:pPr>
              <w:numPr>
                <w:ilvl w:val="0"/>
                <w:numId w:val="1"/>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★水炮流量：≥20L/s、 压力≥0.8MPa；水炮射程：≥50m；驱动型式：4×2；最高车速：≥90km/h；发动机：柴油；尾气排放标准：国Ⅵ；整车性能符合GB7956《消防车消防性能要求及试验方法》的规定；</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水罐质量符合GA39.4－92的规定；1个人口盖：带有快速锁紧及开启装置；设溢流口1个≥DN65；注水口通径为≥DN80；放余水口1个通径≥DN40；配有变径接头2个。</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、轴距：≥3300mm；</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、设备：除原车设备外，驾驶室内加装有取力器控制开关及指示灯100W警报器、警灯、标志灯、示廓灯开关等；配备多个器材箱。</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、应根据实际情况，进行整车涂装。</w:t>
            </w:r>
          </w:p>
        </w:tc>
      </w:tr>
      <w:tr>
        <w:tblPrEx>
          <w:tblCellMar>
            <w:top w:w="0" w:type="dxa"/>
            <w:left w:w="108" w:type="dxa"/>
            <w:bottom w:w="0" w:type="dxa"/>
            <w:right w:w="108" w:type="dxa"/>
          </w:tblCellMar>
        </w:tblPrEx>
        <w:trPr>
          <w:trHeight w:val="308" w:hRule="atLeast"/>
          <w:jc w:val="center"/>
        </w:trPr>
        <w:tc>
          <w:tcPr>
            <w:tcW w:w="81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p>
        </w:tc>
        <w:tc>
          <w:tcPr>
            <w:tcW w:w="117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应急指挥车</w:t>
            </w:r>
            <w:r>
              <w:rPr>
                <w:rFonts w:hint="eastAsia" w:ascii="黑体" w:hAnsi="黑体" w:eastAsia="黑体" w:cs="黑体"/>
                <w:color w:val="auto"/>
                <w:kern w:val="0"/>
                <w:sz w:val="24"/>
                <w:szCs w:val="24"/>
                <w:highlight w:val="none"/>
                <w:lang w:eastAsia="zh-CN"/>
              </w:rPr>
              <w:t>（核心产品）</w:t>
            </w:r>
          </w:p>
        </w:tc>
        <w:tc>
          <w:tcPr>
            <w:tcW w:w="7869" w:type="dxa"/>
            <w:tcBorders>
              <w:top w:val="nil"/>
              <w:left w:val="nil"/>
              <w:bottom w:val="single" w:color="auto" w:sz="4" w:space="0"/>
              <w:right w:val="single" w:color="auto" w:sz="4" w:space="0"/>
            </w:tcBorders>
            <w:noWrap/>
            <w:vAlign w:val="center"/>
          </w:tcPr>
          <w:p>
            <w:pPr>
              <w:numPr>
                <w:ilvl w:val="0"/>
                <w:numId w:val="2"/>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燃油种类：汽油；排量/功率（ml/kw）: ≥2290/170；</w:t>
            </w:r>
          </w:p>
          <w:p>
            <w:pPr>
              <w:numPr>
                <w:ilvl w:val="0"/>
                <w:numId w:val="2"/>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★排放标准：国六；</w:t>
            </w:r>
          </w:p>
          <w:p>
            <w:pPr>
              <w:numPr>
                <w:ilvl w:val="0"/>
                <w:numId w:val="2"/>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额定载客人数（人）：5；</w:t>
            </w:r>
          </w:p>
          <w:p>
            <w:pPr>
              <w:numPr>
                <w:ilvl w:val="0"/>
                <w:numId w:val="2"/>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轴距：2700-2950mm；最高时速（Km/h）：≥100；</w:t>
            </w:r>
          </w:p>
          <w:p>
            <w:pPr>
              <w:numPr>
                <w:ilvl w:val="0"/>
                <w:numId w:val="2"/>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采用4×4四轮驱动、非承载式金属车身；</w:t>
            </w:r>
          </w:p>
          <w:p>
            <w:pPr>
              <w:numPr>
                <w:ilvl w:val="0"/>
                <w:numId w:val="2"/>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大功率车载调频对讲机；驾驶室顶部前端装配森林消防专用警灯。</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中控门锁、电动车窗、智能一键启动、发动机电子防盗系统、主副驾驶安全气囊、电动外后视镜（带折叠加热功能）、高级皮质座椅、驾驶座电动6项调节、空调、USB输入接口、全液晶显示屏、倒车影像、GPS导航系统、LED日间行车灯、电子ABS+EBD、制动辅助HBA、胎压监测、行车记录仪。</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8</w:t>
            </w:r>
            <w:r>
              <w:rPr>
                <w:rFonts w:hint="eastAsia" w:ascii="黑体" w:hAnsi="黑体" w:eastAsia="黑体" w:cs="黑体"/>
                <w:color w:val="auto"/>
                <w:sz w:val="24"/>
                <w:szCs w:val="24"/>
                <w:highlight w:val="none"/>
              </w:rPr>
              <w:t>、应根据实际情况，进行整车涂装。</w:t>
            </w:r>
          </w:p>
        </w:tc>
      </w:tr>
      <w:tr>
        <w:tblPrEx>
          <w:tblCellMar>
            <w:top w:w="0" w:type="dxa"/>
            <w:left w:w="108" w:type="dxa"/>
            <w:bottom w:w="0" w:type="dxa"/>
            <w:right w:w="108" w:type="dxa"/>
          </w:tblCellMar>
        </w:tblPrEx>
        <w:trPr>
          <w:trHeight w:val="308" w:hRule="atLeast"/>
          <w:jc w:val="center"/>
        </w:trPr>
        <w:tc>
          <w:tcPr>
            <w:tcW w:w="81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w:t>
            </w:r>
          </w:p>
        </w:tc>
        <w:tc>
          <w:tcPr>
            <w:tcW w:w="117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运兵车</w:t>
            </w:r>
          </w:p>
        </w:tc>
        <w:tc>
          <w:tcPr>
            <w:tcW w:w="7869" w:type="dxa"/>
            <w:tcBorders>
              <w:top w:val="nil"/>
              <w:left w:val="nil"/>
              <w:bottom w:val="single" w:color="auto" w:sz="4" w:space="0"/>
              <w:right w:val="single" w:color="auto" w:sz="4" w:space="0"/>
            </w:tcBorders>
            <w:noWrap/>
            <w:vAlign w:val="center"/>
          </w:tcPr>
          <w:p>
            <w:pPr>
              <w:numPr>
                <w:ilvl w:val="0"/>
                <w:numId w:val="3"/>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排量/功率（ml/kw）: ≥2798/95；</w:t>
            </w:r>
          </w:p>
          <w:p>
            <w:pPr>
              <w:numPr>
                <w:ilvl w:val="0"/>
                <w:numId w:val="3"/>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燃油种类：柴油；</w:t>
            </w:r>
          </w:p>
          <w:p>
            <w:pPr>
              <w:numPr>
                <w:ilvl w:val="0"/>
                <w:numId w:val="3"/>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★排放标准：国六；</w:t>
            </w:r>
          </w:p>
          <w:p>
            <w:pPr>
              <w:numPr>
                <w:ilvl w:val="0"/>
                <w:numId w:val="3"/>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驾驶室准乘人数：17人；</w:t>
            </w:r>
          </w:p>
          <w:p>
            <w:pPr>
              <w:numPr>
                <w:ilvl w:val="0"/>
                <w:numId w:val="3"/>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轴距：3300～3800mm；最高时速（Km/h）：≥100；</w:t>
            </w:r>
          </w:p>
          <w:p>
            <w:pPr>
              <w:numPr>
                <w:ilvl w:val="0"/>
                <w:numId w:val="3"/>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四轮驱动。</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六档手动变速、承载式车身、前后盘式制动、ABS+EBD、电子可调大灯+前雾灯、电动门窗+遥控锁、收音机、倒车雷达、倒车影像、电动调节电热除霜手动折叠带转向灯后视镜、集成式尾门踏板、电动外挂侧滑门踏板、电动空调、前门踏步、有高位制动灯、发动机电子防盗、胎压监测、行车记录仪。驾驶室顶部前端装配森林消防专用警灯，实现喊话警示作用，能够连接U盘。</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8</w:t>
            </w:r>
            <w:r>
              <w:rPr>
                <w:rFonts w:hint="eastAsia" w:ascii="黑体" w:hAnsi="黑体" w:eastAsia="黑体" w:cs="黑体"/>
                <w:color w:val="auto"/>
                <w:sz w:val="24"/>
                <w:szCs w:val="24"/>
                <w:highlight w:val="none"/>
              </w:rPr>
              <w:t>、应根据实际情况，进行整车涂装。</w:t>
            </w:r>
          </w:p>
        </w:tc>
      </w:tr>
      <w:tr>
        <w:tblPrEx>
          <w:tblCellMar>
            <w:top w:w="0" w:type="dxa"/>
            <w:left w:w="108" w:type="dxa"/>
            <w:bottom w:w="0" w:type="dxa"/>
            <w:right w:w="108" w:type="dxa"/>
          </w:tblCellMar>
        </w:tblPrEx>
        <w:trPr>
          <w:trHeight w:val="315" w:hRule="atLeast"/>
          <w:jc w:val="center"/>
        </w:trPr>
        <w:tc>
          <w:tcPr>
            <w:tcW w:w="81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rPr>
              <w:t>4</w:t>
            </w:r>
          </w:p>
        </w:tc>
        <w:tc>
          <w:tcPr>
            <w:tcW w:w="117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rPr>
              <w:t>消防机具运输车</w:t>
            </w:r>
          </w:p>
        </w:tc>
        <w:tc>
          <w:tcPr>
            <w:tcW w:w="7869" w:type="dxa"/>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1、燃油种类：柴油</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★2、排放标准：GB18352.6-2016国 VI</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3、轴距（mm）：≥3110；</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4、额定载客人数（人）：2+3；</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5、最高车速(km/h)：≥160；</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6、排量/功率（ml/kw）：≥1968/120；</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7、货箱尺寸（mm）：≥1520×1520×440；</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8、四驱系统，主副驾驶安全气囊、侧气囊，后挡风玻璃除霜，自动大灯，自动雨刮，右盲区监测，智能车联网，液晶屏，车载双模导航，远程控制，前雾灯，主副驾驶电动座椅，自动驻车，电子手刹，上下坡辅助，定速巡航、四轮盘式碟刹、胎压监测系统、ABS防抱死、ESP防侧滑、牵引力控制系统、高清带随动辅助线倒车影像、倒车雷达、无钥匙进入、无钥匙启动、发动机防盗及中控锁、原厂踏板，电动车窗、电动调节后视镜、多功能方向盘、原厂皮座椅、原厂底盘装甲、货箱耐磨涂层，行车记录仪；</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9、应根据实际情况，进行整车涂装。</w:t>
            </w:r>
          </w:p>
        </w:tc>
      </w:tr>
    </w:tbl>
    <w:p>
      <w:pPr>
        <w:pStyle w:val="8"/>
        <w:jc w:val="both"/>
        <w:outlineLvl w:val="2"/>
        <w:rPr>
          <w:rFonts w:hint="eastAsia" w:ascii="黑体" w:hAnsi="黑体" w:eastAsia="黑体" w:cs="黑体"/>
          <w:b/>
          <w:color w:val="auto"/>
          <w:sz w:val="24"/>
          <w:szCs w:val="24"/>
          <w:highlight w:val="none"/>
        </w:rPr>
      </w:pPr>
    </w:p>
    <w:p>
      <w:pPr>
        <w:pStyle w:val="8"/>
        <w:ind w:firstLine="481" w:firstLineChars="200"/>
        <w:jc w:val="both"/>
        <w:outlineLvl w:val="2"/>
        <w:rPr>
          <w:rFonts w:hint="default"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1.中标人商需提供车辆上牌服务，其中上牌相关费用由中标人负责，车辆保险及车购税由采购人负责。整车交付，经最终验收合格。</w:t>
      </w:r>
    </w:p>
    <w:p>
      <w:pPr>
        <w:pStyle w:val="8"/>
        <w:jc w:val="both"/>
        <w:outlineLvl w:val="2"/>
        <w:rPr>
          <w:rFonts w:hint="eastAsia" w:ascii="黑体" w:hAnsi="黑体" w:eastAsia="黑体" w:cs="黑体"/>
          <w:b/>
          <w:color w:val="auto"/>
          <w:sz w:val="24"/>
          <w:szCs w:val="24"/>
          <w:highlight w:val="none"/>
        </w:rPr>
      </w:pPr>
    </w:p>
    <w:p>
      <w:pPr>
        <w:pStyle w:val="8"/>
        <w:jc w:val="both"/>
        <w:outlineLvl w:val="2"/>
        <w:rPr>
          <w:rFonts w:hint="eastAsia" w:ascii="黑体" w:hAnsi="黑体" w:eastAsia="黑体" w:cs="黑体"/>
          <w:b/>
          <w:color w:val="auto"/>
          <w:sz w:val="24"/>
          <w:szCs w:val="24"/>
          <w:highlight w:val="none"/>
        </w:rPr>
      </w:pPr>
    </w:p>
    <w:p>
      <w:pPr>
        <w:numPr>
          <w:ilvl w:val="0"/>
          <w:numId w:val="0"/>
        </w:numPr>
        <w:spacing w:line="360" w:lineRule="auto"/>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合同包五：</w:t>
      </w:r>
      <w:r>
        <w:rPr>
          <w:rFonts w:hint="eastAsia" w:ascii="黑体" w:hAnsi="黑体" w:eastAsia="黑体" w:cs="黑体"/>
          <w:b/>
          <w:bCs/>
          <w:color w:val="auto"/>
          <w:kern w:val="0"/>
          <w:sz w:val="24"/>
          <w:szCs w:val="24"/>
          <w:highlight w:val="none"/>
        </w:rPr>
        <w:t>无线图传设备</w:t>
      </w:r>
    </w:p>
    <w:tbl>
      <w:tblPr>
        <w:tblStyle w:val="5"/>
        <w:tblW w:w="5000" w:type="pct"/>
        <w:jc w:val="center"/>
        <w:tblLayout w:type="fixed"/>
        <w:tblCellMar>
          <w:top w:w="0" w:type="dxa"/>
          <w:left w:w="108" w:type="dxa"/>
          <w:bottom w:w="0" w:type="dxa"/>
          <w:right w:w="108" w:type="dxa"/>
        </w:tblCellMar>
      </w:tblPr>
      <w:tblGrid>
        <w:gridCol w:w="770"/>
        <w:gridCol w:w="1135"/>
        <w:gridCol w:w="7949"/>
      </w:tblGrid>
      <w:tr>
        <w:tblPrEx>
          <w:tblCellMar>
            <w:top w:w="0" w:type="dxa"/>
            <w:left w:w="108" w:type="dxa"/>
            <w:bottom w:w="0" w:type="dxa"/>
            <w:right w:w="108" w:type="dxa"/>
          </w:tblCellMar>
        </w:tblPrEx>
        <w:trPr>
          <w:trHeight w:val="90" w:hRule="atLeast"/>
          <w:jc w:val="center"/>
        </w:trPr>
        <w:tc>
          <w:tcPr>
            <w:tcW w:w="66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b/>
                <w:bCs/>
                <w:color w:val="auto"/>
                <w:kern w:val="0"/>
                <w:sz w:val="24"/>
                <w:szCs w:val="24"/>
                <w:highlight w:val="none"/>
                <w:lang w:eastAsia="zh-CN"/>
              </w:rPr>
            </w:pPr>
            <w:r>
              <w:rPr>
                <w:rFonts w:hint="eastAsia" w:ascii="黑体" w:hAnsi="黑体" w:eastAsia="黑体" w:cs="黑体"/>
                <w:b/>
                <w:bCs/>
                <w:color w:val="auto"/>
                <w:kern w:val="0"/>
                <w:sz w:val="24"/>
                <w:szCs w:val="24"/>
                <w:highlight w:val="none"/>
              </w:rPr>
              <w:t>序号</w:t>
            </w:r>
          </w:p>
        </w:tc>
        <w:tc>
          <w:tcPr>
            <w:tcW w:w="98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名称</w:t>
            </w:r>
          </w:p>
        </w:tc>
        <w:tc>
          <w:tcPr>
            <w:tcW w:w="68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rPr>
              <w:t>主要性能指标</w:t>
            </w:r>
          </w:p>
        </w:tc>
      </w:tr>
      <w:tr>
        <w:tblPrEx>
          <w:tblCellMar>
            <w:top w:w="0" w:type="dxa"/>
            <w:left w:w="108" w:type="dxa"/>
            <w:bottom w:w="0" w:type="dxa"/>
            <w:right w:w="108" w:type="dxa"/>
          </w:tblCellMar>
        </w:tblPrEx>
        <w:trPr>
          <w:trHeight w:val="308" w:hRule="atLeast"/>
          <w:jc w:val="center"/>
        </w:trPr>
        <w:tc>
          <w:tcPr>
            <w:tcW w:w="39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w:t>
            </w:r>
          </w:p>
        </w:tc>
        <w:tc>
          <w:tcPr>
            <w:tcW w:w="57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火场视频采集器（手持单兵）</w:t>
            </w:r>
            <w:r>
              <w:rPr>
                <w:rFonts w:hint="eastAsia" w:ascii="黑体" w:hAnsi="黑体" w:eastAsia="黑体" w:cs="黑体"/>
                <w:color w:val="auto"/>
                <w:kern w:val="0"/>
                <w:sz w:val="24"/>
                <w:szCs w:val="24"/>
                <w:highlight w:val="none"/>
                <w:lang w:eastAsia="zh-CN"/>
              </w:rPr>
              <w:t>（核心产品）</w:t>
            </w:r>
          </w:p>
        </w:tc>
        <w:tc>
          <w:tcPr>
            <w:tcW w:w="4033"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w:t>
            </w:r>
            <w:r>
              <w:rPr>
                <w:rFonts w:hint="eastAsia" w:ascii="黑体" w:hAnsi="黑体" w:eastAsia="黑体" w:cs="黑体"/>
                <w:color w:val="auto"/>
                <w:kern w:val="0"/>
                <w:sz w:val="24"/>
                <w:szCs w:val="24"/>
                <w:highlight w:val="none"/>
              </w:rPr>
              <w:t>符合 GA/T947-2015《单警执法视音频记录系统》标准（需提供第三方权威机构出具的检测报告扫描件）</w:t>
            </w:r>
            <w:r>
              <w:rPr>
                <w:rFonts w:hint="eastAsia" w:ascii="黑体" w:hAnsi="黑体" w:eastAsia="黑体" w:cs="黑体"/>
                <w:color w:val="auto"/>
                <w:kern w:val="0"/>
                <w:sz w:val="24"/>
                <w:szCs w:val="24"/>
                <w:highlight w:val="none"/>
                <w:lang w:eastAsia="zh-CN"/>
              </w:rPr>
              <w:t>。</w:t>
            </w:r>
          </w:p>
          <w:p>
            <w:pPr>
              <w:spacing w:line="360" w:lineRule="auto"/>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kern w:val="0"/>
                <w:sz w:val="24"/>
                <w:szCs w:val="24"/>
                <w:highlight w:val="none"/>
              </w:rPr>
              <w:t>内置可闪烁的红蓝警示灯</w:t>
            </w:r>
            <w:r>
              <w:rPr>
                <w:rFonts w:hint="eastAsia" w:ascii="黑体" w:hAnsi="黑体" w:eastAsia="黑体" w:cs="黑体"/>
                <w:color w:val="auto"/>
                <w:kern w:val="0"/>
                <w:sz w:val="24"/>
                <w:szCs w:val="24"/>
                <w:highlight w:val="none"/>
                <w:lang w:eastAsia="zh-CN"/>
              </w:rPr>
              <w:t>。</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3、2</w:t>
            </w:r>
            <w:r>
              <w:rPr>
                <w:rFonts w:hint="eastAsia" w:ascii="黑体" w:hAnsi="黑体" w:eastAsia="黑体" w:cs="黑体"/>
                <w:color w:val="auto"/>
                <w:sz w:val="24"/>
                <w:szCs w:val="24"/>
                <w:highlight w:val="none"/>
              </w:rPr>
              <w:t>.5寸≤屏幕≤3.5寸；支持夜视功能；防护等级≥IP68；定位：支持北斗定位；存储容量≥16G；具备音视频单呼、组呼等功能；</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、视频性能：在视频分辨率1920 ×1080下测得的视频分辨力800线，帧率30帧/s；</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、采集器夜视功能：距离5m处，可看清人物面部特征；</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、拍摄视频几何失真≤17.5%，摄像头水平视场角≥104°；</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、摄像头像素≥1300万，自动对焦，带闪光灯；</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8</w:t>
            </w:r>
            <w:r>
              <w:rPr>
                <w:rFonts w:hint="eastAsia" w:ascii="黑体" w:hAnsi="黑体" w:eastAsia="黑体" w:cs="黑体"/>
                <w:color w:val="auto"/>
                <w:sz w:val="24"/>
                <w:szCs w:val="24"/>
                <w:highlight w:val="none"/>
              </w:rPr>
              <w:t>、设备具有开关机、重点文件标记、拍照、录像、录音、报警、SOS、PTT等实体按键；</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9</w:t>
            </w:r>
            <w:r>
              <w:rPr>
                <w:rFonts w:hint="eastAsia" w:ascii="黑体" w:hAnsi="黑体" w:eastAsia="黑体" w:cs="黑体"/>
                <w:color w:val="auto"/>
                <w:sz w:val="24"/>
                <w:szCs w:val="24"/>
                <w:highlight w:val="none"/>
              </w:rPr>
              <w:t>、设备可以使用移动、联通、电信SIM卡，实现无线传输功能；</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10</w:t>
            </w:r>
            <w:r>
              <w:rPr>
                <w:rFonts w:hint="eastAsia" w:ascii="黑体" w:hAnsi="黑体" w:eastAsia="黑体" w:cs="黑体"/>
                <w:color w:val="auto"/>
                <w:sz w:val="24"/>
                <w:szCs w:val="24"/>
                <w:highlight w:val="none"/>
              </w:rPr>
              <w:t>、具备内置天线；</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11</w:t>
            </w:r>
            <w:r>
              <w:rPr>
                <w:rFonts w:hint="eastAsia" w:ascii="黑体" w:hAnsi="黑体" w:eastAsia="黑体" w:cs="黑体"/>
                <w:color w:val="auto"/>
                <w:sz w:val="24"/>
                <w:szCs w:val="24"/>
                <w:highlight w:val="none"/>
              </w:rPr>
              <w:t>、语音、视频通话：实现设备之间的语音对讲和视频回传、通话，保证视频、语音通话无时间延迟；</w:t>
            </w:r>
          </w:p>
          <w:p>
            <w:pPr>
              <w:numPr>
                <w:ilvl w:val="0"/>
                <w:numId w:val="4"/>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卓越的工业设计，符合人体工学的圆弧设计，专用按键搭配及盲视操作设计，人性化的背夹设计；</w:t>
            </w:r>
          </w:p>
          <w:p>
            <w:pPr>
              <w:numPr>
                <w:ilvl w:val="0"/>
                <w:numId w:val="0"/>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13、能实现组网通信。</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14</w:t>
            </w:r>
            <w:r>
              <w:rPr>
                <w:rFonts w:hint="eastAsia" w:ascii="黑体" w:hAnsi="黑体" w:eastAsia="黑体" w:cs="黑体"/>
                <w:color w:val="auto"/>
                <w:sz w:val="24"/>
                <w:szCs w:val="24"/>
                <w:highlight w:val="none"/>
              </w:rPr>
              <w:t>、应可数字接入到三明市应急局融合通信平台，满足平台调用，调看应用要求</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供应商需提供承诺函，要求附后</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、包含3年音视频流量服务（4G物联网卡）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供应商需提供承诺函，要求附后</w:t>
            </w:r>
            <w:r>
              <w:rPr>
                <w:rFonts w:hint="eastAsia" w:ascii="黑体" w:hAnsi="黑体" w:eastAsia="黑体" w:cs="黑体"/>
                <w:color w:val="auto"/>
                <w:sz w:val="24"/>
                <w:szCs w:val="24"/>
                <w:highlight w:val="none"/>
                <w:lang w:eastAsia="zh-CN"/>
              </w:rPr>
              <w:t>）。</w:t>
            </w:r>
          </w:p>
        </w:tc>
      </w:tr>
      <w:tr>
        <w:tblPrEx>
          <w:tblCellMar>
            <w:top w:w="0" w:type="dxa"/>
            <w:left w:w="108" w:type="dxa"/>
            <w:bottom w:w="0" w:type="dxa"/>
            <w:right w:w="108" w:type="dxa"/>
          </w:tblCellMar>
        </w:tblPrEx>
        <w:trPr>
          <w:trHeight w:val="308" w:hRule="atLeast"/>
          <w:jc w:val="center"/>
        </w:trPr>
        <w:tc>
          <w:tcPr>
            <w:tcW w:w="39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p>
        </w:tc>
        <w:tc>
          <w:tcPr>
            <w:tcW w:w="576"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布控球</w:t>
            </w:r>
          </w:p>
        </w:tc>
        <w:tc>
          <w:tcPr>
            <w:tcW w:w="4033" w:type="pct"/>
            <w:tcBorders>
              <w:top w:val="single" w:color="auto" w:sz="4" w:space="0"/>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1、传感器类型≥1/2.8英寸CMOS；像素≥800万；</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2、最大分辨率≥3480×2160；</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3、最大补光距离≥100m（红外）；</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4、光学变倍：全景1：定焦；细节：≥40倍；</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5、支持4G功能、wifi功能（2.4G/5G）、ap热点功能（2.4G/5G）；</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6、支持语音对讲功能；</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7、支持北斗定位功能，精确显示球机经纬度信息；</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8、支持电子防抖、电子透雾；</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9、周界防范：支持绊线入侵；支持区域入侵；支持穿越围栏；支持徘徊检测；支持物品遗留；支持物品搬移；支持快速移动；支持停车检测；支持人员聚集；支持人车分类报警；支持联动跟踪；</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10、具有至少3个SIM卡卡槽，可同时支持移动、联通、电信5G/4GSIM卡；可通过SIM卡连接到电信、移动、联通的4G/5G网络；</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、应可数字接入到三明市应急局融合通信平台，满足平台调用，调看应用要求</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供应商需提供承诺函，要求附后</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、包含3年音视频流量服务（4G物联网卡）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供应商需提供承诺函，要求附后</w:t>
            </w:r>
            <w:r>
              <w:rPr>
                <w:rFonts w:hint="eastAsia" w:ascii="黑体" w:hAnsi="黑体" w:eastAsia="黑体" w:cs="黑体"/>
                <w:color w:val="auto"/>
                <w:sz w:val="24"/>
                <w:szCs w:val="24"/>
                <w:highlight w:val="none"/>
                <w:lang w:eastAsia="zh-CN"/>
              </w:rPr>
              <w:t>）。</w:t>
            </w:r>
          </w:p>
        </w:tc>
      </w:tr>
      <w:tr>
        <w:tblPrEx>
          <w:tblCellMar>
            <w:top w:w="0" w:type="dxa"/>
            <w:left w:w="108" w:type="dxa"/>
            <w:bottom w:w="0" w:type="dxa"/>
            <w:right w:w="108" w:type="dxa"/>
          </w:tblCellMar>
        </w:tblPrEx>
        <w:trPr>
          <w:trHeight w:val="308" w:hRule="atLeast"/>
          <w:jc w:val="center"/>
        </w:trPr>
        <w:tc>
          <w:tcPr>
            <w:tcW w:w="390"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w:t>
            </w:r>
          </w:p>
        </w:tc>
        <w:tc>
          <w:tcPr>
            <w:tcW w:w="576"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三防</w:t>
            </w:r>
          </w:p>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平板</w:t>
            </w:r>
          </w:p>
        </w:tc>
        <w:tc>
          <w:tcPr>
            <w:tcW w:w="4033"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1、采用windows 10系统或Android11.0以上系统；</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2、屏幕≥8英寸，分辨率≥1920*1200；</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3、高防护等级≥IP67；</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4、内置高精准定位模块，支持北斗；</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5、最大可支持2TB拓展内存卡；</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6、电池容量≥8000mAh；</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7、CPU≥八核2.0GHz；</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8、运行内存：≥6G；</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9、存储容量：≥128G；</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10、支持指纹解锁、人脸识别双解锁（图案/密码/PIN），支持蓝牙5.0，双频WiFi；</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11、强光手电、气压、温度、海拔、指南针、陀螺仪、红外遥控；</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12、独立实体PTT对讲按键，独立PoC软件对讲按键/独立FN用户自定义键，一键免提功能；</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13、配置平板保护套、支架。</w:t>
            </w:r>
          </w:p>
          <w:p>
            <w:pPr>
              <w:spacing w:line="360" w:lineRule="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、包含3年音视频流量服务（4G物联网卡）；</w:t>
            </w:r>
          </w:p>
        </w:tc>
      </w:tr>
      <w:tr>
        <w:tblPrEx>
          <w:tblCellMar>
            <w:top w:w="0" w:type="dxa"/>
            <w:left w:w="108" w:type="dxa"/>
            <w:bottom w:w="0" w:type="dxa"/>
            <w:right w:w="108" w:type="dxa"/>
          </w:tblCellMar>
        </w:tblPrEx>
        <w:trPr>
          <w:trHeight w:val="308" w:hRule="atLeast"/>
          <w:jc w:val="center"/>
        </w:trPr>
        <w:tc>
          <w:tcPr>
            <w:tcW w:w="390"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w:t>
            </w:r>
          </w:p>
        </w:tc>
        <w:tc>
          <w:tcPr>
            <w:tcW w:w="576"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屏幕（</w:t>
            </w:r>
            <w:r>
              <w:rPr>
                <w:rFonts w:hint="eastAsia" w:ascii="黑体" w:hAnsi="黑体" w:eastAsia="黑体" w:cs="黑体"/>
                <w:color w:val="auto"/>
                <w:sz w:val="24"/>
                <w:szCs w:val="24"/>
                <w:highlight w:val="none"/>
              </w:rPr>
              <w:t>17.352m</w:t>
            </w:r>
            <w:r>
              <w:rPr>
                <w:rFonts w:hint="eastAsia" w:ascii="黑体" w:hAnsi="黑体" w:eastAsia="黑体" w:cs="黑体"/>
                <w:color w:val="auto"/>
                <w:sz w:val="24"/>
                <w:szCs w:val="24"/>
                <w:highlight w:val="none"/>
                <w:vertAlign w:val="superscript"/>
              </w:rPr>
              <w:t>2</w:t>
            </w:r>
            <w:r>
              <w:rPr>
                <w:rFonts w:hint="eastAsia" w:ascii="黑体" w:hAnsi="黑体" w:eastAsia="黑体" w:cs="黑体"/>
                <w:color w:val="auto"/>
                <w:kern w:val="0"/>
                <w:sz w:val="24"/>
                <w:szCs w:val="24"/>
                <w:highlight w:val="none"/>
              </w:rPr>
              <w:t>）</w:t>
            </w:r>
          </w:p>
        </w:tc>
        <w:tc>
          <w:tcPr>
            <w:tcW w:w="4033"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一、屏体</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1、像素点间距：≤1.25mm；采用RGB晶片全倒装技术，晶片直接焊在PCB上，无焊线，散热好；COB三合一封装技术，每颗像素点1R1G1B；</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2、采用表面平面封装，无点状、面状及凸点造型，树脂一次性整体灌封，无像素独立、二次灌封，墨色一致性∆E＜0.5；</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3、采用箱体式结构，共阴节能功能；</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4、维护方式：全前维护设计，支持模组、接收卡的带电维护、热拔插；</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5、单元比例：16：9；发光点中心距偏距：≤0.8%；</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6、显示屏静态对比度：≥10000：1；显示屏亮度调节范围：≥2000cd/m²，0-100%任意可调；显示屏亮度均匀性：≥97%；面光源设计，有效抑制90%摩尔纹。</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7、支持单点亮度校正；水平视角：≥175°，垂直视角≥175°；</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8、洛氏硬度≥HRC 8级；表面硬度≥3H；毒性R（max.）≤1；</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9、LED显示屏具有芯片级封装LED结构技术，在镀覆区域设置黑色并且绝缘的覆盖层，可以增强LED结构的对比度，有利于降低LED结构的发热量和功耗，从而提高其可靠性和使用寿命。</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10、支持显示素材多样化，各种视频文件、图片、底图、字幕、流媒体、IP桌面、超大分辨率图像的任意开窗、叠加显示</w:t>
            </w:r>
            <w:r>
              <w:rPr>
                <w:rFonts w:hint="eastAsia" w:ascii="黑体" w:hAnsi="黑体" w:eastAsia="黑体" w:cs="黑体"/>
                <w:color w:val="auto"/>
                <w:sz w:val="24"/>
                <w:szCs w:val="24"/>
                <w:highlight w:val="none"/>
                <w:lang w:eastAsia="zh-CN"/>
              </w:rPr>
              <w:t>。</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11、具有软件折线图、曲线图、柱状图、饼图、文字等20种图形模版选择、数据自定义编写和图形数据同步显示；能够自定义新建平台模版，能时时对自定义进行数据编写、排版、保存</w:t>
            </w:r>
            <w:r>
              <w:rPr>
                <w:rFonts w:hint="eastAsia" w:ascii="黑体" w:hAnsi="黑体" w:eastAsia="黑体" w:cs="黑体"/>
                <w:color w:val="auto"/>
                <w:sz w:val="24"/>
                <w:szCs w:val="24"/>
                <w:highlight w:val="none"/>
                <w:lang w:eastAsia="zh-CN"/>
              </w:rPr>
              <w:t>（提供功能截图）。</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12、根据实际场地情况，可进行拆分多屏，并配置相应配件以满足使用需求。</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二、视频处理器（2套）</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1、采用最新的拼接器模式+发送卡模式，二者高度集成，系统互联架构简单，可支持3D，HDR模式显示；</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2、最大支持12路HDMI、DVI输入和32路网口输出或16路HDMI、DVI输入和8路HDMI、DVI输出；单个二合一网口输出卡最大输出视频分辨率为5120x2048，最多可接入2张二合一网口输出卡；支持光口和网口间复制和热备；</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3、输入输出子卡支持热插拔功能，设备无需重启和设置，图像显示正常；</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4、单个输出板卡可支持16个窗口叠加显示，支持窗口图像漫游、无极缩放、画面截取、翻转、冻结；</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5、支持屏幕非规则建屏，单卡单接口建屏，2k接口输出最大分辨率为2560×972或884×2560，单张DVI和HDMI输出卡最大分辨率为10240×972或884×10240；</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6、支持屏体内同步以及外部genlock，保证所有输出同步、多设备间视频显示同步；</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7、输入卡可通过子母卡的组合，接口任意两两组合，支持输入输出卡混合插入。</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三、采用钢结构支架及不锈钢包边。</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四、配电箱</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1、电源总输入功率支持≥10KW；</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2、电源控制模式：手动、自动双模式切换；</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3、具有电源指示灯；温湿度监测；箱门状态监测；</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4、具有防雷防护、监测；箱体漏电监测；支持远程控制；</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5、分步式自动逐级上电功能，分步式自动逐级掉电功能，工业级过载短路限流保护，过压欠压保护功能；</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五、配备音箱1套、无线麦克风6个、无线接入点AP 1台、音频处理器及中控平板编程、22u机柜1台。</w:t>
            </w:r>
          </w:p>
        </w:tc>
      </w:tr>
      <w:tr>
        <w:tblPrEx>
          <w:tblCellMar>
            <w:top w:w="0" w:type="dxa"/>
            <w:left w:w="108" w:type="dxa"/>
            <w:bottom w:w="0" w:type="dxa"/>
            <w:right w:w="108" w:type="dxa"/>
          </w:tblCellMar>
        </w:tblPrEx>
        <w:trPr>
          <w:trHeight w:val="308" w:hRule="atLeast"/>
          <w:jc w:val="center"/>
        </w:trPr>
        <w:tc>
          <w:tcPr>
            <w:tcW w:w="390"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5</w:t>
            </w:r>
          </w:p>
        </w:tc>
        <w:tc>
          <w:tcPr>
            <w:tcW w:w="576"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固定</w:t>
            </w:r>
          </w:p>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基站</w:t>
            </w:r>
          </w:p>
        </w:tc>
        <w:tc>
          <w:tcPr>
            <w:tcW w:w="4033"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一、一套固定基站包括1台窄带基站、2台MESH宽带自组网基站和1台LTE基站 。</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1、窄带基站</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1）符合 PDT 数字集群标准，最大发射功率≥50W，</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2）调制方式：4FSK；调制频偏误差≤10.0%</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3）4FSK 发射误码率≤1×10-4</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4）邻道功率比±12.5kHz≤–60dB；±25.0kHz≤–70dB </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5）静态灵敏度≤–118dBm 误码率为 5%时 ；</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6）重量：≤20kg；</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7）功能要求：按照应急管理部窄带无线通信系统技术规范接入市局同播控制器，实现与已建设基站进行互联互通功能。</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2、MESH基站</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1）工作频段：支持512-582MHz或1420-1530MHz工作频段</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2）信道带宽：5/10/20MHz，灵活可配</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3）发射功率：≥2×10W</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4）基站组网支持自同步，可在没有</w:t>
            </w:r>
            <w:r>
              <w:rPr>
                <w:rFonts w:hint="eastAsia" w:ascii="黑体" w:hAnsi="黑体" w:eastAsia="黑体" w:cs="黑体"/>
                <w:color w:val="auto"/>
                <w:sz w:val="24"/>
                <w:szCs w:val="24"/>
                <w:highlight w:val="none"/>
                <w:lang w:val="en-US" w:eastAsia="zh-CN"/>
              </w:rPr>
              <w:t>北斗</w:t>
            </w:r>
            <w:r>
              <w:rPr>
                <w:rFonts w:hint="eastAsia" w:ascii="黑体" w:hAnsi="黑体" w:eastAsia="黑体" w:cs="黑体"/>
                <w:color w:val="auto"/>
                <w:sz w:val="24"/>
                <w:szCs w:val="24"/>
                <w:highlight w:val="none"/>
              </w:rPr>
              <w:t>等外部同步手段的条件下进行组网</w:t>
            </w:r>
            <w:r>
              <w:rPr>
                <w:rFonts w:hint="eastAsia" w:ascii="黑体" w:hAnsi="黑体" w:eastAsia="黑体" w:cs="黑体"/>
                <w:color w:val="auto"/>
                <w:sz w:val="24"/>
                <w:szCs w:val="24"/>
                <w:highlight w:val="none"/>
                <w:lang w:eastAsia="zh-CN"/>
              </w:rPr>
              <w:t>。</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5）网络接口:防水航插头转以太网接口</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6）定位导航：内置</w:t>
            </w:r>
            <w:r>
              <w:rPr>
                <w:rFonts w:hint="eastAsia" w:ascii="黑体" w:hAnsi="黑体" w:eastAsia="黑体" w:cs="黑体"/>
                <w:color w:val="auto"/>
                <w:sz w:val="24"/>
                <w:szCs w:val="24"/>
                <w:highlight w:val="none"/>
                <w:lang w:val="en-US" w:eastAsia="zh-CN"/>
              </w:rPr>
              <w:t>北斗</w:t>
            </w:r>
            <w:r>
              <w:rPr>
                <w:rFonts w:hint="eastAsia" w:ascii="黑体" w:hAnsi="黑体" w:eastAsia="黑体" w:cs="黑体"/>
                <w:color w:val="auto"/>
                <w:sz w:val="24"/>
                <w:szCs w:val="24"/>
                <w:highlight w:val="none"/>
              </w:rPr>
              <w:t>定位</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7）续航：≥6h</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3、LTE基站</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1）用于实现应急现场的4G TD-LTE专网信号的覆盖，开机一键式使用，无需配置和更改参数，可配合卫星便携站、Mesh自组网设备使用；</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2）基于TD-LTE和B-TrunC技术，内置核心网、多媒体调度单元、无线基站全套集群业务网元，支持语音对讲、视频组呼和视频全双工呼叫、视频电话、视频上传及分发、定位、短彩信等多媒体调度业务，支持综合接入手持终端视频、布控球视频、单兵视频、固定监控摄像头视频等多种视频源；</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3）工作频段：1447MHz-1467MHz/1785MHz-1805MHz/566-626MHz，中心频点可调；</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4）工作带宽：支持5MHz/10MHz/15MHz/20MHz；</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5）无线制式：TD-LTE；</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6）系统吞吐量：≥0.8Gbps</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7）集群呼叫建立时延：≤300ms</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8）最大集群用户数：≥500</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9）最大群组数：≥100</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10）最大在线集群呼叫：≥240</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11）核心网支持最大接入基站数：≥10</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12）射频功率：≥2×10W；</w:t>
            </w:r>
          </w:p>
          <w:p>
            <w:pPr>
              <w:numPr>
                <w:ilvl w:val="0"/>
                <w:numId w:val="0"/>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13）</w:t>
            </w:r>
            <w:r>
              <w:rPr>
                <w:rFonts w:hint="eastAsia" w:ascii="黑体" w:hAnsi="黑体" w:eastAsia="黑体" w:cs="黑体"/>
                <w:color w:val="auto"/>
                <w:sz w:val="24"/>
                <w:szCs w:val="24"/>
                <w:highlight w:val="none"/>
              </w:rPr>
              <w:t>系统采用一体化设计，可单人背负</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包含3年音视频流量服务（4G物联网卡）；</w:t>
            </w:r>
          </w:p>
        </w:tc>
      </w:tr>
      <w:tr>
        <w:tblPrEx>
          <w:tblCellMar>
            <w:top w:w="0" w:type="dxa"/>
            <w:left w:w="108" w:type="dxa"/>
            <w:bottom w:w="0" w:type="dxa"/>
            <w:right w:w="108" w:type="dxa"/>
          </w:tblCellMar>
        </w:tblPrEx>
        <w:trPr>
          <w:trHeight w:val="308" w:hRule="atLeast"/>
          <w:jc w:val="center"/>
        </w:trPr>
        <w:tc>
          <w:tcPr>
            <w:tcW w:w="390"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6</w:t>
            </w:r>
          </w:p>
        </w:tc>
        <w:tc>
          <w:tcPr>
            <w:tcW w:w="576"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移动打印机</w:t>
            </w:r>
          </w:p>
        </w:tc>
        <w:tc>
          <w:tcPr>
            <w:tcW w:w="4033"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1、内存：≥4GB；</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2、纸张容量：≥350页（A4）；</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3、启动时间：≤28秒；</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4、能耗：≤2.5kw；</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5、复印/打印速度：≥20页/分钟；</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6、扫描速度：≥55页/分钟；</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7、打印分辨率：1200dpi-2400dpi；</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8、彩印扫描打印复印自动双面一体机；</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9、最大支持打印幅面≥A3；</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10、智能多点触控屏≥7英寸；</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11、支持多样式化扫描格式:TIFF/JPG/PDF/XDW；</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12、连接方式：网络、USB、无线WIFI。</w:t>
            </w:r>
          </w:p>
        </w:tc>
      </w:tr>
      <w:tr>
        <w:tblPrEx>
          <w:tblCellMar>
            <w:top w:w="0" w:type="dxa"/>
            <w:left w:w="108" w:type="dxa"/>
            <w:bottom w:w="0" w:type="dxa"/>
            <w:right w:w="108" w:type="dxa"/>
          </w:tblCellMar>
        </w:tblPrEx>
        <w:trPr>
          <w:trHeight w:val="308" w:hRule="atLeast"/>
          <w:jc w:val="center"/>
        </w:trPr>
        <w:tc>
          <w:tcPr>
            <w:tcW w:w="390"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7</w:t>
            </w:r>
          </w:p>
        </w:tc>
        <w:tc>
          <w:tcPr>
            <w:tcW w:w="576"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业务系统专用终端（PC）</w:t>
            </w:r>
          </w:p>
        </w:tc>
        <w:tc>
          <w:tcPr>
            <w:tcW w:w="4033"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1、CPU 性能不低于 i7-12700；主频≥2.1GHz、最高睿频≥4.9GHz；≥12核心；</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2、内存 ≥16GB；</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3、硬盘≥2T，SSD固态硬盘≥512GB ；</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4、具备独立显卡≥ 2G ；</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5、Windows 10 简体中文专业版 (64 位)以上。</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6、显示器：屏幕尺寸：≥21英寸；</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分辨率：≥1920×1080 ；宽高比：≥16:9。</w:t>
            </w:r>
          </w:p>
        </w:tc>
      </w:tr>
      <w:tr>
        <w:tblPrEx>
          <w:tblCellMar>
            <w:top w:w="0" w:type="dxa"/>
            <w:left w:w="108" w:type="dxa"/>
            <w:bottom w:w="0" w:type="dxa"/>
            <w:right w:w="108" w:type="dxa"/>
          </w:tblCellMar>
        </w:tblPrEx>
        <w:trPr>
          <w:trHeight w:val="308" w:hRule="atLeast"/>
          <w:jc w:val="center"/>
        </w:trPr>
        <w:tc>
          <w:tcPr>
            <w:tcW w:w="390"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8</w:t>
            </w:r>
          </w:p>
        </w:tc>
        <w:tc>
          <w:tcPr>
            <w:tcW w:w="576" w:type="pct"/>
            <w:tcBorders>
              <w:top w:val="nil"/>
              <w:left w:val="nil"/>
              <w:bottom w:val="single" w:color="auto" w:sz="4" w:space="0"/>
              <w:right w:val="single" w:color="auto" w:sz="4" w:space="0"/>
            </w:tcBorders>
            <w:noWrap/>
            <w:vAlign w:val="center"/>
          </w:tcPr>
          <w:p>
            <w:pPr>
              <w:widowControl/>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业务系统专用便携终端（PC）</w:t>
            </w:r>
          </w:p>
        </w:tc>
        <w:tc>
          <w:tcPr>
            <w:tcW w:w="4033" w:type="pct"/>
            <w:tcBorders>
              <w:top w:val="nil"/>
              <w:left w:val="nil"/>
              <w:bottom w:val="single" w:color="auto" w:sz="4" w:space="0"/>
              <w:right w:val="single" w:color="auto" w:sz="4" w:space="0"/>
            </w:tcBorders>
            <w:noWrap/>
            <w:vAlign w:val="center"/>
          </w:tcPr>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1、CPU 性能不低于 i7-1255U；主频≥1.7GHz、最高睿频≥4.7GHz；≥10核心；</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2、内存 ≥16GB；</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3、SSD固态硬盘≥512GB ；</w:t>
            </w:r>
          </w:p>
          <w:p>
            <w:pPr>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4、具备独立显卡≥ 2G ；</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5、Windows 10 简体中文专业版 (64 位)以上；</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6、显示屏≤14英寸</w:t>
            </w:r>
          </w:p>
        </w:tc>
      </w:tr>
    </w:tbl>
    <w:p>
      <w:pPr>
        <w:pStyle w:val="8"/>
        <w:ind w:firstLine="481" w:firstLineChars="200"/>
        <w:jc w:val="both"/>
        <w:outlineLvl w:val="2"/>
        <w:rPr>
          <w:rFonts w:hint="eastAsia" w:ascii="黑体" w:hAnsi="黑体" w:eastAsia="黑体" w:cs="黑体"/>
          <w:b/>
          <w:color w:val="auto"/>
          <w:sz w:val="24"/>
          <w:szCs w:val="24"/>
          <w:highlight w:val="none"/>
        </w:rPr>
      </w:pPr>
    </w:p>
    <w:p>
      <w:pPr>
        <w:pStyle w:val="8"/>
        <w:ind w:firstLine="481" w:firstLineChars="200"/>
        <w:jc w:val="both"/>
        <w:outlineLvl w:val="2"/>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lang w:val="en-US" w:eastAsia="zh-CN"/>
        </w:rPr>
        <w:t>1.</w:t>
      </w:r>
      <w:r>
        <w:rPr>
          <w:rFonts w:hint="eastAsia" w:ascii="黑体" w:hAnsi="黑体" w:eastAsia="黑体" w:cs="黑体"/>
          <w:b/>
          <w:color w:val="auto"/>
          <w:sz w:val="24"/>
          <w:szCs w:val="24"/>
          <w:highlight w:val="none"/>
        </w:rPr>
        <w:t>承诺函</w:t>
      </w:r>
    </w:p>
    <w:p>
      <w:pPr>
        <w:pStyle w:val="8"/>
        <w:ind w:firstLine="481" w:firstLineChars="200"/>
        <w:jc w:val="both"/>
        <w:outlineLvl w:val="2"/>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lang w:val="en-US" w:eastAsia="zh-CN"/>
        </w:rPr>
        <w:t>承诺函</w:t>
      </w:r>
      <w:r>
        <w:rPr>
          <w:rFonts w:hint="eastAsia" w:ascii="黑体" w:hAnsi="黑体" w:eastAsia="黑体" w:cs="黑体"/>
          <w:b/>
          <w:color w:val="auto"/>
          <w:sz w:val="24"/>
          <w:szCs w:val="24"/>
          <w:highlight w:val="none"/>
        </w:rPr>
        <w:t>至少包含以下内容：供应商需承诺按照招标文件要求提供“3年音视频流量服务（4G物联网卡）”，在货物最终验收之前需按照该合同包的技术参数要求将相关设备接入到三明市应急局融合通信平台，满足平台调用，调看应用要求，否则采购人不予验收，因无法接入平台导致的项目延期所产生的</w:t>
      </w:r>
      <w:bookmarkStart w:id="0" w:name="_GoBack"/>
      <w:bookmarkEnd w:id="0"/>
      <w:r>
        <w:rPr>
          <w:rFonts w:hint="eastAsia" w:ascii="黑体" w:hAnsi="黑体" w:eastAsia="黑体" w:cs="黑体"/>
          <w:b/>
          <w:color w:val="auto"/>
          <w:sz w:val="24"/>
          <w:szCs w:val="24"/>
          <w:highlight w:val="none"/>
        </w:rPr>
        <w:t>一切损失均由中标人承担。</w:t>
      </w:r>
    </w:p>
    <w:p>
      <w:pPr>
        <w:pStyle w:val="8"/>
        <w:jc w:val="both"/>
        <w:outlineLvl w:val="2"/>
        <w:rPr>
          <w:rFonts w:hint="eastAsia" w:ascii="黑体" w:hAnsi="黑体" w:eastAsia="黑体" w:cs="黑体"/>
          <w:b/>
          <w:color w:val="auto"/>
          <w:sz w:val="24"/>
          <w:szCs w:val="24"/>
          <w:highlight w:val="none"/>
        </w:rPr>
      </w:pPr>
    </w:p>
    <w:p>
      <w:pPr>
        <w:pStyle w:val="8"/>
        <w:spacing w:line="360" w:lineRule="auto"/>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三、商务要求（以“★”标示的内容为不允许负偏离的实质性要求）</w:t>
      </w: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采购包1：</w:t>
      </w:r>
    </w:p>
    <w:tbl>
      <w:tblPr>
        <w:tblStyle w:val="5"/>
        <w:tblW w:w="499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1"/>
        <w:gridCol w:w="1253"/>
        <w:gridCol w:w="2424"/>
        <w:gridCol w:w="53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参数性质</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类型</w:t>
            </w:r>
          </w:p>
        </w:tc>
        <w:tc>
          <w:tcPr>
            <w:tcW w:w="27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交货时间</w:t>
            </w:r>
          </w:p>
        </w:tc>
        <w:tc>
          <w:tcPr>
            <w:tcW w:w="2732" w:type="pct"/>
            <w:vAlign w:val="center"/>
          </w:tcPr>
          <w:p>
            <w:pPr>
              <w:pStyle w:val="8"/>
              <w:spacing w:line="360" w:lineRule="auto"/>
              <w:jc w:val="center"/>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自合同签订生效之日起60日内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交货地点</w:t>
            </w:r>
          </w:p>
        </w:tc>
        <w:tc>
          <w:tcPr>
            <w:tcW w:w="27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交货条件</w:t>
            </w:r>
          </w:p>
        </w:tc>
        <w:tc>
          <w:tcPr>
            <w:tcW w:w="27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验收合格，交付使用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是否邀请投标人验收</w:t>
            </w:r>
          </w:p>
        </w:tc>
        <w:tc>
          <w:tcPr>
            <w:tcW w:w="27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履约验收方式</w:t>
            </w:r>
          </w:p>
        </w:tc>
        <w:tc>
          <w:tcPr>
            <w:tcW w:w="27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期次1，说明：详见其他商务要求中规定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合同支付方式</w:t>
            </w:r>
          </w:p>
        </w:tc>
        <w:tc>
          <w:tcPr>
            <w:tcW w:w="27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设备全部到货经采购人验收合格后，达到付款条件起30日内，支付合同总金额的100.00%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履约保证金</w:t>
            </w:r>
          </w:p>
        </w:tc>
        <w:tc>
          <w:tcPr>
            <w:tcW w:w="27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w:t>
            </w:r>
          </w:p>
        </w:tc>
        <w:tc>
          <w:tcPr>
            <w:tcW w:w="27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无</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其他商务要求</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1、安装调试</w:t>
      </w:r>
      <w:r>
        <w:rPr>
          <w:rFonts w:hint="eastAsia" w:ascii="黑体" w:hAnsi="黑体" w:eastAsia="黑体" w:cs="黑体"/>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1.1 中标人在货物运抵现场前，向采购人提供安装进度计划表及需采购人配合的事项。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1.2 由中标人负责将货物按签订合同的具体数量、具体地点运送到最终目的地，中标人 负责派技术人员到现场进行安装、调试至验收合格交付采购人使用。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1.3 安装施工过程中，应事先通知采购人，经同意后再进行实施。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1.4 中标人在施工、制作、运输、安装、布线及调试过程中，应严格按照国家有关的操作规程和施工规范进行作业，确保安装牢固，安全可靠。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1.5 中标人在制作运输安装过程中，应加强作业现场管理，保持整洁有序，不得破坏环 境，否则由中标人负全责。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1.6 中标人必须加强制作、运输及安装施工过程中的安全防护，在此过程中，如因中标人原因导致的双方及第三方的任何人身、设备安全事故及财产损失均由中标人负全责。 </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1.7 中标人施工包含对现有利旧设备搬迁到指定位置利旧使用，需搬迁安装设备包括操作台、电脑电器、通讯设备、会控音控设备、线路等相关设备设施，搬迁后相关设备应及时调试并恢复正常使用，运输及安装施工过程中如因中标人原因导致设备损坏，造成损失均由中标人负全责。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1.8 免送货上门费、免安装费、免咨询及技术培训费。货物运输及安装调试所需所有费用由中标人支付。 </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2、验收要求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按国家行业标准验收，由中标人、采购人共同完成。中标人在验收前必须向采购人提供产品合格证、保修卡、设备安装报告等资料。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2.1.验收规则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2.1.1 验收标准：所有设备均需按照国家规定标准、制造商产品验收标准、本招标文件及投标文件相关内容进行验收。系统符合招标文件、部省相关技术规范和国家有关质量标准。 </w:t>
      </w:r>
    </w:p>
    <w:p>
      <w:pPr>
        <w:keepNext w:val="0"/>
        <w:keepLines w:val="0"/>
        <w:widowControl/>
        <w:suppressLineNumbers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设备质量达到设计要求，安装调试各项指标和功能符合技术要求，产品能通过相关检验部门的检验。 </w:t>
      </w:r>
      <w:r>
        <w:rPr>
          <w:rFonts w:hint="eastAsia" w:ascii="黑体" w:hAnsi="黑体" w:eastAsia="黑体" w:cs="黑体"/>
          <w:b/>
          <w:bCs/>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2.1.2 货物验收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2.1.2.1 到货验收：所有设备到货后，招标人、中标人与监理方一同拆箱，对其全部产品、零件、配件的型号规格、数量、外型、外观、包装进行到货检查。并与装箱单对比，如有出入应立即书面记录，由中标人解决。如影响安装则按招标文件或合同有关条款处理。若到货产品指标低于招标文件要求的，视为虚假投标，招标人有权拒收，并要求中标人在 15 个日历日内整改或升级更换相关软硬件，直至满足招标文件的要求，无法按期实现的，招标人有权单方中止合同，并按有关规定追究中标人违约责任并没收项目履约保证金。 </w:t>
      </w:r>
    </w:p>
    <w:p>
      <w:pPr>
        <w:keepNext w:val="0"/>
        <w:keepLines w:val="0"/>
        <w:widowControl/>
        <w:suppressLineNumbers w:val="0"/>
        <w:spacing w:line="360" w:lineRule="auto"/>
        <w:ind w:firstLine="480" w:firstLineChars="200"/>
        <w:jc w:val="left"/>
        <w:rPr>
          <w:rFonts w:hint="eastAsia" w:ascii="黑体" w:hAnsi="黑体" w:eastAsia="黑体" w:cs="黑体"/>
          <w:color w:val="auto"/>
          <w:kern w:val="0"/>
          <w:sz w:val="24"/>
          <w:szCs w:val="24"/>
          <w:highlight w:val="none"/>
          <w:lang w:val="en-US" w:eastAsia="zh-CN" w:bidi="ar"/>
        </w:rPr>
      </w:pPr>
      <w:r>
        <w:rPr>
          <w:rFonts w:hint="eastAsia" w:ascii="黑体" w:hAnsi="黑体" w:eastAsia="黑体" w:cs="黑体"/>
          <w:color w:val="auto"/>
          <w:kern w:val="0"/>
          <w:sz w:val="24"/>
          <w:szCs w:val="24"/>
          <w:highlight w:val="none"/>
          <w:lang w:val="en-US" w:eastAsia="zh-CN" w:bidi="ar"/>
        </w:rPr>
        <w:t>2.1.2.2 最终验收：到货验完成之日起，系统稳定运行 1 个月以上，并通过第三方检测，中标人可向采购人提出终验申请。由采购人负责组织有关专家并会同成交供应商按本项目验收标准进行最终验收。现场验收按国家行业标准及招标文件要求进行，经验收的所有货物（系统）安装调试后的各项技术参数、性能指标配置及其质量等均必须符合招标文件要求及投标响应文件承诺，并达到国家强制标准，其结果由双方确认签署的最终验收合格报告为准。若发现设备质量问题，成交供应商应无条件免费更换，并无条件重新检测并调试,直至验收合格签收交付使用。</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由采购人组织有关专家和业务部门根据合同约定和国家的相关标准对项目进行终验，并对有异议和疑义项提出书面说明，无异议则签订《终验合格报告》。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最终验收后六个月内如发现货物不符合要求的，中标人应在收到更换货物通知后一周内无条件免费更换货物。 </w:t>
      </w:r>
    </w:p>
    <w:p>
      <w:pPr>
        <w:keepNext w:val="0"/>
        <w:keepLines w:val="0"/>
        <w:widowControl/>
        <w:numPr>
          <w:ilvl w:val="0"/>
          <w:numId w:val="0"/>
        </w:numPr>
        <w:suppressLineNumbers w:val="0"/>
        <w:spacing w:line="360" w:lineRule="auto"/>
        <w:ind w:firstLine="481" w:firstLineChars="200"/>
        <w:jc w:val="left"/>
        <w:rPr>
          <w:rFonts w:hint="eastAsia" w:ascii="黑体" w:hAnsi="黑体" w:eastAsia="黑体" w:cs="黑体"/>
          <w:b/>
          <w:bCs/>
          <w:color w:val="auto"/>
          <w:kern w:val="0"/>
          <w:sz w:val="24"/>
          <w:szCs w:val="24"/>
          <w:highlight w:val="none"/>
          <w:lang w:val="en-US" w:eastAsia="zh-CN" w:bidi="ar"/>
        </w:rPr>
      </w:pPr>
      <w:r>
        <w:rPr>
          <w:rFonts w:hint="eastAsia" w:ascii="黑体" w:hAnsi="黑体" w:eastAsia="黑体" w:cs="黑体"/>
          <w:b/>
          <w:bCs/>
          <w:color w:val="auto"/>
          <w:kern w:val="0"/>
          <w:sz w:val="24"/>
          <w:szCs w:val="24"/>
          <w:highlight w:val="none"/>
          <w:lang w:val="en-US" w:eastAsia="zh-CN" w:bidi="ar"/>
        </w:rPr>
        <w:t>3、报价要求：投标人应书面承诺：</w:t>
      </w:r>
    </w:p>
    <w:p>
      <w:pPr>
        <w:keepNext w:val="0"/>
        <w:keepLines w:val="0"/>
        <w:widowControl/>
        <w:numPr>
          <w:ilvl w:val="0"/>
          <w:numId w:val="0"/>
        </w:numPr>
        <w:suppressLineNumbers w:val="0"/>
        <w:spacing w:line="360" w:lineRule="auto"/>
        <w:ind w:firstLine="481" w:firstLineChars="200"/>
        <w:jc w:val="left"/>
        <w:rPr>
          <w:rFonts w:hint="eastAsia" w:ascii="黑体" w:hAnsi="黑体" w:eastAsia="黑体" w:cs="黑体"/>
          <w:b/>
          <w:bCs/>
          <w:color w:val="auto"/>
          <w:kern w:val="0"/>
          <w:sz w:val="24"/>
          <w:szCs w:val="24"/>
          <w:highlight w:val="none"/>
          <w:lang w:val="en-US" w:eastAsia="zh-CN" w:bidi="ar"/>
        </w:rPr>
      </w:pPr>
      <w:r>
        <w:rPr>
          <w:rFonts w:hint="eastAsia" w:ascii="黑体" w:hAnsi="黑体" w:eastAsia="黑体" w:cs="黑体"/>
          <w:b/>
          <w:bCs/>
          <w:color w:val="auto"/>
          <w:kern w:val="0"/>
          <w:sz w:val="24"/>
          <w:szCs w:val="24"/>
          <w:highlight w:val="none"/>
          <w:lang w:val="en-US" w:eastAsia="zh-CN" w:bidi="ar"/>
        </w:rPr>
        <w:t>本项目为交钥匙工程，设备清单与技术要求中未明确列出实际施工中确需要用到的一切相关设备、辅材、人工费、税费等均包含在本项目中，应保证设备正常运作所需的最低要求，如有遗漏，投标人应予以补充，不另行付费。潜在的投标人一旦中标，即视为已行使上述权利，表明投标人完全了解现场情况，自愿承担由此引起的一切不利自己的风险后果，并自愿承担相关法律责任。</w:t>
      </w:r>
    </w:p>
    <w:p>
      <w:pPr>
        <w:keepNext w:val="0"/>
        <w:keepLines w:val="0"/>
        <w:widowControl/>
        <w:numPr>
          <w:ilvl w:val="0"/>
          <w:numId w:val="0"/>
        </w:numPr>
        <w:suppressLineNumbers w:val="0"/>
        <w:spacing w:line="360" w:lineRule="auto"/>
        <w:ind w:firstLine="481" w:firstLineChars="200"/>
        <w:jc w:val="left"/>
        <w:rPr>
          <w:rFonts w:hint="eastAsia" w:ascii="黑体" w:hAnsi="黑体" w:eastAsia="黑体" w:cs="黑体"/>
          <w:b/>
          <w:bCs/>
          <w:color w:val="auto"/>
          <w:kern w:val="0"/>
          <w:sz w:val="24"/>
          <w:szCs w:val="24"/>
          <w:highlight w:val="none"/>
          <w:lang w:val="en-US" w:eastAsia="zh-CN" w:bidi="ar"/>
        </w:rPr>
      </w:pPr>
      <w:r>
        <w:rPr>
          <w:rFonts w:hint="eastAsia" w:ascii="黑体" w:hAnsi="黑体" w:eastAsia="黑体" w:cs="黑体"/>
          <w:b/>
          <w:bCs/>
          <w:color w:val="auto"/>
          <w:kern w:val="0"/>
          <w:sz w:val="24"/>
          <w:szCs w:val="24"/>
          <w:highlight w:val="none"/>
          <w:lang w:val="en-US" w:eastAsia="zh-CN" w:bidi="ar"/>
        </w:rPr>
        <w:t>采购人不另行组织现场勘察。各潜在投标人可在招标公示后至公示期结束前与采购人联系后亲临现场作详细勘察 。依据现场实际情况及采购人需求，在完全满足业主个性化要求的情况下完成硬件环境调研。</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4、技术培训及技术资料要求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4.1、为了保障项目能有序受控地进行，保证系统能稳定、高效地运行，根据本采购项目的特点及技术要求，中标人应提供多种方式的用户培训，应充分满足各个层次不同培训对象的需求，协助用户单位建立一支技术过硬、业务精通的应用及维护队伍。通过培训使各级相关人员熟悉相关设备的使用。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4.2 对采购人的技术人员进行培训，中标人应安排专业技术人员免费对采购人技术人员进行使用操作、设备维修、保养等技术培训，直至采购人的技术人员能熟练独立工作为止，其间所发生的一切培训费包括中标人一切费用（包含住宿、交通、生活补助等）由中标人承担。培训所有的费用均计入总报价。 </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5、日常运维要求</w:t>
      </w:r>
      <w:r>
        <w:rPr>
          <w:rFonts w:hint="eastAsia" w:ascii="黑体" w:hAnsi="黑体" w:eastAsia="黑体" w:cs="黑体"/>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中标人应对本项目建设内容进行定期巡查（每季度一次）、测试和维护保养，发现问题立刻处理。对可能存在的故障点进行相应整改，及时排除隐患因素；对设备的故障及时通知相关单位或人员处理。中标人出具每季度巡查报告，并由各使用单位签字确认。 </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6、重大活动保障要求</w:t>
      </w:r>
      <w:r>
        <w:rPr>
          <w:rFonts w:hint="eastAsia" w:ascii="黑体" w:hAnsi="黑体" w:eastAsia="黑体" w:cs="黑体"/>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用户单位遇到重大活动、重点时段或应急处突等情况需要现场保障时，由中标人派遣专业维护工程师配合用户单位进行现场驻点保障工作。在活动发生前提早做好设备巡检、关键点位测试、系统优化、保障预案建设等工作。 </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7、售后服务要求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7.1 中标人应按以下时限要求对本项目所采购和安装的软硬件设施设备提供免费运维服务：硬件设施设备，终验合格之日起三年（超过三年的设备设施以实际维保为准，少于三年的统一按照三年计算）。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7.2 质保期内，中标方需负责设备和系统的运行、维护和组织管理，具体包括：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7.2.1 负责设备和系统的正常运行与维护工作；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7.2.2 负责设备系统软件的更新与维护；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7.3 项目承建单位提供 7*24 小时技术支持服务，服务响应时间不得超过 1 小时，提供多种运维服务模式，如实时技术支持、热线电话服务、现场支持、备品备件服务、定期巡检服务等。 </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8、违约责任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8.1 若发现投标供应商提供虚假材料或伪造材料谋取中标的，按提供虚假材料谋取中标、成交情形处理，由政府采购监督管理部门按《政府采购法》第七十七条规定处罚，该投标供应商的投标将视为无效投标。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8.2 因成交供应商原因造成采购供货合同无法按时签订或在签定采购供货合同之后，中标方单方面要求解除合同的，视为中标方违约，采购人有权没收其投标保证金，如投标保证金不能弥补违约对采购人造成的损失的，成交供应商还需另行支付相应的赔偿。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8.3 因成交供应商原因发生重大质量或安全事故，除依约承担赔偿责任外，还将按有关质量管理办法规定执行。同时，采购人有权保留更换中标方的权利，并报相关行政主管部门处罚。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8.4 在明确违约责任后，成交供应商应在接到书面通知书起七天内支付违约金、赔偿金等。 </w:t>
      </w:r>
    </w:p>
    <w:p>
      <w:pPr>
        <w:pStyle w:val="8"/>
        <w:spacing w:line="360" w:lineRule="auto"/>
        <w:ind w:firstLine="480" w:firstLineChars="200"/>
        <w:jc w:val="both"/>
        <w:outlineLvl w:val="2"/>
        <w:rPr>
          <w:rFonts w:hint="eastAsia" w:ascii="黑体" w:hAnsi="黑体" w:eastAsia="黑体" w:cs="黑体"/>
          <w:b/>
          <w:color w:val="auto"/>
          <w:sz w:val="24"/>
          <w:szCs w:val="24"/>
          <w:highlight w:val="none"/>
        </w:rPr>
      </w:pPr>
      <w:r>
        <w:rPr>
          <w:rFonts w:hint="eastAsia" w:ascii="黑体" w:hAnsi="黑体" w:eastAsia="黑体" w:cs="黑体"/>
          <w:color w:val="auto"/>
          <w:kern w:val="0"/>
          <w:sz w:val="24"/>
          <w:szCs w:val="24"/>
          <w:highlight w:val="none"/>
          <w:lang w:val="en-US" w:eastAsia="zh-CN" w:bidi="ar"/>
        </w:rPr>
        <w:t>8.5 本项目不允许中标人以任何名义和理由进行转包，如有发现，采购人有权单方终止合同，视为中标人违约，中标人违约对采购人造成的损失的，需另行支付相应的赔偿。</w:t>
      </w:r>
    </w:p>
    <w:p>
      <w:pPr>
        <w:pStyle w:val="8"/>
        <w:spacing w:line="360" w:lineRule="auto"/>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四、其他事项</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8"/>
        <w:spacing w:line="360" w:lineRule="auto"/>
        <w:ind w:firstLine="480" w:firstLineChars="200"/>
        <w:jc w:val="both"/>
        <w:outlineLvl w:val="2"/>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2、其他：</w:t>
      </w:r>
      <w:r>
        <w:rPr>
          <w:rFonts w:hint="eastAsia" w:ascii="黑体" w:hAnsi="黑体" w:eastAsia="黑体" w:cs="黑体"/>
          <w:b w:val="0"/>
          <w:bCs w:val="0"/>
          <w:color w:val="auto"/>
          <w:sz w:val="24"/>
          <w:szCs w:val="24"/>
          <w:highlight w:val="none"/>
          <w:lang w:val="en-US" w:eastAsia="zh-CN"/>
        </w:rPr>
        <w:t>无</w:t>
      </w:r>
      <w:r>
        <w:rPr>
          <w:rFonts w:hint="eastAsia" w:ascii="黑体" w:hAnsi="黑体" w:eastAsia="黑体" w:cs="黑体"/>
          <w:b w:val="0"/>
          <w:bCs w:val="0"/>
          <w:color w:val="auto"/>
          <w:sz w:val="24"/>
          <w:szCs w:val="24"/>
          <w:highlight w:val="none"/>
        </w:rPr>
        <w:t>。</w:t>
      </w:r>
    </w:p>
    <w:p>
      <w:pPr>
        <w:pStyle w:val="8"/>
        <w:spacing w:line="360" w:lineRule="auto"/>
        <w:jc w:val="both"/>
        <w:outlineLvl w:val="2"/>
        <w:rPr>
          <w:rFonts w:hint="eastAsia" w:ascii="黑体" w:hAnsi="黑体" w:eastAsia="黑体" w:cs="黑体"/>
          <w:b/>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w:t>
      </w:r>
      <w:r>
        <w:rPr>
          <w:rFonts w:hint="eastAsia" w:ascii="黑体" w:hAnsi="黑体" w:eastAsia="黑体" w:cs="黑体"/>
          <w:b/>
          <w:bCs/>
          <w:color w:val="auto"/>
          <w:sz w:val="24"/>
          <w:szCs w:val="24"/>
          <w:highlight w:val="none"/>
          <w:lang w:val="en-US" w:eastAsia="zh-CN"/>
        </w:rPr>
        <w:t>2</w:t>
      </w:r>
      <w:r>
        <w:rPr>
          <w:rFonts w:hint="eastAsia" w:ascii="黑体" w:hAnsi="黑体" w:eastAsia="黑体" w:cs="黑体"/>
          <w:b/>
          <w:bCs/>
          <w:color w:val="auto"/>
          <w:sz w:val="24"/>
          <w:szCs w:val="24"/>
          <w:highlight w:val="none"/>
        </w:rPr>
        <w:t>：</w:t>
      </w:r>
    </w:p>
    <w:p>
      <w:pPr>
        <w:pStyle w:val="8"/>
        <w:spacing w:line="360" w:lineRule="auto"/>
        <w:jc w:val="both"/>
        <w:rPr>
          <w:rFonts w:hint="eastAsia" w:ascii="黑体" w:hAnsi="黑体" w:eastAsia="黑体" w:cs="黑体"/>
          <w:b/>
          <w:bCs/>
          <w:color w:val="auto"/>
          <w:sz w:val="24"/>
          <w:szCs w:val="24"/>
          <w:highlight w:val="none"/>
        </w:rPr>
      </w:pPr>
    </w:p>
    <w:tbl>
      <w:tblPr>
        <w:tblStyle w:val="5"/>
        <w:tblW w:w="498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1"/>
        <w:gridCol w:w="1253"/>
        <w:gridCol w:w="2423"/>
        <w:gridCol w:w="53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参数性质</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类型</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交货时间</w:t>
            </w:r>
          </w:p>
        </w:tc>
        <w:tc>
          <w:tcPr>
            <w:tcW w:w="2733" w:type="pct"/>
            <w:vAlign w:val="center"/>
          </w:tcPr>
          <w:p>
            <w:pPr>
              <w:pStyle w:val="8"/>
              <w:spacing w:line="360" w:lineRule="auto"/>
              <w:jc w:val="center"/>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自合同签订生效之日起60日内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交货地点</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交货条件</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验收合格，交付使用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是否邀请投标人验收</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履约验收方式</w:t>
            </w:r>
          </w:p>
        </w:tc>
        <w:tc>
          <w:tcPr>
            <w:tcW w:w="2733" w:type="pct"/>
            <w:vAlign w:val="center"/>
          </w:tcPr>
          <w:p>
            <w:pPr>
              <w:pStyle w:val="8"/>
              <w:spacing w:line="360" w:lineRule="auto"/>
              <w:jc w:val="center"/>
              <w:rPr>
                <w:rFonts w:hint="eastAsia" w:ascii="黑体" w:hAnsi="黑体" w:eastAsia="黑体" w:cs="黑体"/>
                <w:color w:val="auto"/>
                <w:sz w:val="24"/>
                <w:szCs w:val="24"/>
                <w:highlight w:val="none"/>
                <w:lang w:val="en-US" w:eastAsia="zh-Hans"/>
              </w:rPr>
            </w:pPr>
            <w:r>
              <w:rPr>
                <w:rFonts w:hint="eastAsia" w:ascii="黑体" w:hAnsi="黑体" w:eastAsia="黑体" w:cs="黑体"/>
                <w:color w:val="auto"/>
                <w:sz w:val="24"/>
                <w:szCs w:val="24"/>
                <w:highlight w:val="none"/>
              </w:rPr>
              <w:t>期次1，说明：详见其他商务要求中规定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合同支付方式</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设备全部到货经采购人验收合格后，达到付款条件起30日内，支付合同总金额的100.00%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履约保证金</w:t>
            </w:r>
          </w:p>
        </w:tc>
        <w:tc>
          <w:tcPr>
            <w:tcW w:w="2733" w:type="pct"/>
            <w:vAlign w:val="center"/>
          </w:tcPr>
          <w:p>
            <w:pPr>
              <w:pStyle w:val="8"/>
              <w:spacing w:line="360" w:lineRule="auto"/>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无</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其他商务要求</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1、安装调试</w:t>
      </w:r>
      <w:r>
        <w:rPr>
          <w:rFonts w:hint="eastAsia" w:ascii="黑体" w:hAnsi="黑体" w:eastAsia="黑体" w:cs="黑体"/>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1.1 中标人在货物运抵现场前，向采购人提供安装进度计划表及需采购人配合的事项。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1.2 由中标人负责将货物按签订合同的具体数量、具体地点运送到最终目的地，中标人 负责派技术人员到现场进行安装、调试至验收合格交付采购人使用。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1.3 安装施工过程中，应事先通知采购人，经同意后再进行实施。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1.4 中标人在施工、制作、运输、安装、布线及调试过程中，应严格按照国家有关的操作规程和施工规范进行作业，确保安装牢固，安全可靠。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1.5 中标人在制作运输安装过程中，应加强作业现场管理，保持整洁有序，不得破坏环 境，否则由中标人负全责。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1.6 中标人必须加强制作、运输及安装施工过程中的安全防护，在此过程中，如因中标人原因导致的双方及第三方的任何人身、设备安全事故及财产损失均由中标人负全责。 </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1.7 中标人施工包含对现有利旧设备搬迁到指定位置利旧使用，需搬迁安装设备包括操作台、电脑电器、通讯设备、会控音控设备、线路等相关设备设施，搬迁后相关设备应及时调试并恢复正常使用，运输及安装施工过程中如因中标人原因导致设备损坏，造成损失均由中标人负全责。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1.8 免送货上门费、免安装费、免咨询及技术培训费。货物运输及安装调试所需所有费用由中标人支付。 </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2、验收要求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按国家行业标准验收，由中标人、采购人共同完成。中标人在验收前必须向采购人提供产品合格证、保修卡、设备安装报告等资料。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2.1.验收规则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2.1.1 验收标准：所有设备均需按照国家规定标准、制造商产品验收标准、本招标文件及投标文件相关内容进行验收。系统符合招标文件、部省相关技术规范和国家有关质量标准。 </w:t>
      </w:r>
    </w:p>
    <w:p>
      <w:pPr>
        <w:keepNext w:val="0"/>
        <w:keepLines w:val="0"/>
        <w:widowControl/>
        <w:suppressLineNumbers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设备质量达到设计要求，安装调试各项指标和功能符合技术要求，产品能通过相关检验部门的检验。 </w:t>
      </w:r>
      <w:r>
        <w:rPr>
          <w:rFonts w:hint="eastAsia" w:ascii="黑体" w:hAnsi="黑体" w:eastAsia="黑体" w:cs="黑体"/>
          <w:b/>
          <w:bCs/>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2.1.2 货物验收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2.1.2.1 到货验收：所有设备到货后，招标人、中标人与监理方一同拆箱，对其全部产品、零件、配件的型号规格、数量、外型、外观、包装进行到货检查。并与装箱单对比，如有出入应立即书面记录，由中标人解决。如影响安装则按招标文件或合同有关条款处理。若到货产品指标低于招标文件要求的，视为虚假投标，招标人有权拒收，并要求中标人在 15 个日历日内整改或升级更换相关软硬件，直至满足招标文件的要求，无法按期实现的，招标人有权单方中止合同，并按有关规定追究中标人违约责任并没收项目履约保证金。 </w:t>
      </w:r>
    </w:p>
    <w:p>
      <w:pPr>
        <w:keepNext w:val="0"/>
        <w:keepLines w:val="0"/>
        <w:widowControl/>
        <w:suppressLineNumbers w:val="0"/>
        <w:spacing w:line="360" w:lineRule="auto"/>
        <w:ind w:firstLine="480" w:firstLineChars="200"/>
        <w:jc w:val="left"/>
        <w:rPr>
          <w:rFonts w:hint="eastAsia" w:ascii="黑体" w:hAnsi="黑体" w:eastAsia="黑体" w:cs="黑体"/>
          <w:color w:val="auto"/>
          <w:kern w:val="0"/>
          <w:sz w:val="24"/>
          <w:szCs w:val="24"/>
          <w:highlight w:val="none"/>
          <w:lang w:val="en-US" w:eastAsia="zh-CN" w:bidi="ar"/>
        </w:rPr>
      </w:pPr>
      <w:r>
        <w:rPr>
          <w:rFonts w:hint="eastAsia" w:ascii="黑体" w:hAnsi="黑体" w:eastAsia="黑体" w:cs="黑体"/>
          <w:color w:val="auto"/>
          <w:kern w:val="0"/>
          <w:sz w:val="24"/>
          <w:szCs w:val="24"/>
          <w:highlight w:val="none"/>
          <w:lang w:val="en-US" w:eastAsia="zh-CN" w:bidi="ar"/>
        </w:rPr>
        <w:t>2.1.2.2 最终验收：自到货完成之日起，系统稳定运行 1 个月以上，并通过第三方检测，中标人可向采购人提出终验申请。由采购人负责组织有关专家并会同成交供应商按本项目验收标准进行最终验收。现场验收按国家行业标准及招标文件要求进行，经验收的所有货物（系统）安装调试后的各项技术参数、性能指标配置及其质量等均必须符合招标文件要求及投标响应文件承诺，并达到国家强制标准，其结果由双方确认签署的最终验收合格报告为准。若发现设备质量问题，成交供应商应无条件免费更换，并无条件重新检测并调试,直至验收合格签收交付使用。</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由采购人组织有关专家和业务部门根据合同约定和国家的相关标准对项目进行终验，并对有异议和疑义项提出书面说明，无异议则签订《终验合格报告》。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最终验收后六个月内如发现货物不符合要求的，中标人应在收到更换货物通知后一周内无条件免费更换货物。 </w:t>
      </w:r>
    </w:p>
    <w:p>
      <w:pPr>
        <w:keepNext w:val="0"/>
        <w:keepLines w:val="0"/>
        <w:widowControl/>
        <w:numPr>
          <w:ilvl w:val="0"/>
          <w:numId w:val="0"/>
        </w:numPr>
        <w:suppressLineNumbers w:val="0"/>
        <w:spacing w:line="360" w:lineRule="auto"/>
        <w:ind w:firstLine="481" w:firstLineChars="200"/>
        <w:jc w:val="left"/>
        <w:rPr>
          <w:rFonts w:hint="eastAsia" w:ascii="黑体" w:hAnsi="黑体" w:eastAsia="黑体" w:cs="黑体"/>
          <w:b/>
          <w:bCs/>
          <w:color w:val="auto"/>
          <w:kern w:val="0"/>
          <w:sz w:val="24"/>
          <w:szCs w:val="24"/>
          <w:highlight w:val="none"/>
          <w:lang w:val="en-US" w:eastAsia="zh-CN" w:bidi="ar"/>
        </w:rPr>
      </w:pPr>
      <w:r>
        <w:rPr>
          <w:rFonts w:hint="eastAsia" w:ascii="黑体" w:hAnsi="黑体" w:eastAsia="黑体" w:cs="黑体"/>
          <w:b/>
          <w:bCs/>
          <w:color w:val="auto"/>
          <w:kern w:val="0"/>
          <w:sz w:val="24"/>
          <w:szCs w:val="24"/>
          <w:highlight w:val="none"/>
          <w:lang w:val="en-US" w:eastAsia="zh-CN" w:bidi="ar"/>
        </w:rPr>
        <w:t>3、报价要求：投标人应书面承诺：</w:t>
      </w:r>
    </w:p>
    <w:p>
      <w:pPr>
        <w:keepNext w:val="0"/>
        <w:keepLines w:val="0"/>
        <w:widowControl/>
        <w:numPr>
          <w:ilvl w:val="0"/>
          <w:numId w:val="0"/>
        </w:numPr>
        <w:suppressLineNumbers w:val="0"/>
        <w:spacing w:line="360" w:lineRule="auto"/>
        <w:ind w:firstLine="481" w:firstLineChars="200"/>
        <w:jc w:val="left"/>
        <w:rPr>
          <w:rFonts w:hint="eastAsia" w:ascii="黑体" w:hAnsi="黑体" w:eastAsia="黑体" w:cs="黑体"/>
          <w:b/>
          <w:bCs/>
          <w:color w:val="auto"/>
          <w:kern w:val="0"/>
          <w:sz w:val="24"/>
          <w:szCs w:val="24"/>
          <w:highlight w:val="none"/>
          <w:lang w:val="en-US" w:eastAsia="zh-CN" w:bidi="ar"/>
        </w:rPr>
      </w:pPr>
      <w:r>
        <w:rPr>
          <w:rFonts w:hint="eastAsia" w:ascii="黑体" w:hAnsi="黑体" w:eastAsia="黑体" w:cs="黑体"/>
          <w:b/>
          <w:bCs/>
          <w:color w:val="auto"/>
          <w:kern w:val="0"/>
          <w:sz w:val="24"/>
          <w:szCs w:val="24"/>
          <w:highlight w:val="none"/>
          <w:lang w:val="en-US" w:eastAsia="zh-CN" w:bidi="ar"/>
        </w:rPr>
        <w:t>本项目为交钥匙工程，设备清单与技术要求中未明确列出实际施工中确需要用到的一切相关设备、辅材、人工费、税费等均包含在本项目中，应保证设备正常运作所需的最低要求，如有遗漏，投标人应予以补充，不另行付费。潜在的投标人一旦中标，即视为已行使上述权利，表明投标人完全了解现场情况，自愿承担由此引起的一切不利自己的风险后果，并自愿承担相关法律责任。</w:t>
      </w:r>
    </w:p>
    <w:p>
      <w:pPr>
        <w:keepNext w:val="0"/>
        <w:keepLines w:val="0"/>
        <w:widowControl/>
        <w:numPr>
          <w:ilvl w:val="0"/>
          <w:numId w:val="0"/>
        </w:numPr>
        <w:suppressLineNumbers w:val="0"/>
        <w:spacing w:line="360" w:lineRule="auto"/>
        <w:ind w:firstLine="481" w:firstLineChars="200"/>
        <w:jc w:val="left"/>
        <w:rPr>
          <w:rFonts w:hint="eastAsia" w:ascii="黑体" w:hAnsi="黑体" w:eastAsia="黑体" w:cs="黑体"/>
          <w:b/>
          <w:bCs/>
          <w:color w:val="auto"/>
          <w:kern w:val="0"/>
          <w:sz w:val="24"/>
          <w:szCs w:val="24"/>
          <w:highlight w:val="none"/>
          <w:lang w:val="en-US" w:eastAsia="zh-CN" w:bidi="ar"/>
        </w:rPr>
      </w:pPr>
      <w:r>
        <w:rPr>
          <w:rFonts w:hint="eastAsia" w:ascii="黑体" w:hAnsi="黑体" w:eastAsia="黑体" w:cs="黑体"/>
          <w:b/>
          <w:bCs/>
          <w:color w:val="auto"/>
          <w:kern w:val="0"/>
          <w:sz w:val="24"/>
          <w:szCs w:val="24"/>
          <w:highlight w:val="none"/>
          <w:lang w:val="en-US" w:eastAsia="zh-CN" w:bidi="ar"/>
        </w:rPr>
        <w:t>采购人不另行组织现场勘察。各潜在投标人可在招标公示后至公示期结束前与采购人联系后亲临现场作详细勘察 。依据现场实际情况及采购人需求，在完全满足业主个性化要求的情况下完成硬件环境调研。</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4、技术培训及技术资料要求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4.1、为了保障项目能有序受控地进行，保证系统能稳定、高效地运行，根据本采购项目的特点及技术要求，中标人应提供多种方式的用户培训，应充分满足各个层次不同培训对象的需求，协助用户单位建立一支技术过硬、业务精通的应用及维护队伍。通过培训使各级相关人员熟悉相关设备的使用。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4.2 对采购人的技术人员进行培训，中标人应安排专业技术人员免费对采购人技术人员进行使用操作、设备维修、保养等技术培训，直至采购人的技术人员能熟练独立工作为止，其间所发生的一切培训费包括中标人一切费用（包含住宿、交通、生活补助等）由中标人承担。培训所有的费用均计入总报价。 </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5、日常运维要求</w:t>
      </w:r>
      <w:r>
        <w:rPr>
          <w:rFonts w:hint="eastAsia" w:ascii="黑体" w:hAnsi="黑体" w:eastAsia="黑体" w:cs="黑体"/>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中标人应对本项目建设内容进行定期巡查（每季度一次）、测试和维护保养，发现问题立刻处理。对可能存在的故障点进行相应整改，及时排除隐患因素；对设备的故障及时通知相关单位或人员处理。中标人出具每季度巡查报告，并由各使用单位签字确认。 </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6、重大活动保障要求</w:t>
      </w:r>
      <w:r>
        <w:rPr>
          <w:rFonts w:hint="eastAsia" w:ascii="黑体" w:hAnsi="黑体" w:eastAsia="黑体" w:cs="黑体"/>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用户单位遇到重大活动、重点时段或应急处突等情况需要现场保障时，由中标人派遣专业维护工程师配合用户单位进行现场驻点保障工作。在活动发生前提早做好设备巡检、关键点位测试、系统优化、保障预案建设等工作。 </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7、售后服务要求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7.1 中标人应按以下时限要求对本项目所采购和安装的软硬件设施设备提供免费运维服务：硬件设施设备，终验合格之日起三年（超过三年的设备设施以实际维保为准，少于三年的统一按照三年计算）。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7.2 质保期内，中标方需负责设备和系统的运行、维护和组织管理，具体包括：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7.2.1 负责设备和系统的正常运行与维护工作；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7.2.2 负责设备系统软件的更新与维护；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7.3 项目承建单位提供 7*24 小时技术支持服务，服务响应时间不得超过 1 小时，提供多种运维服务模式，如实时技术支持、热线电话服务、现场支持、备品备件服务、定期巡检服务等。 </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8、违约责任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8.1 若发现投标供应商提供虚假材料或伪造材料谋取中标的，按提供虚假材料谋取中标、成交情形处理，由政府采购监督管理部门按《政府采购法》第七十七条规定处罚，该投标供应商的投标将视为无效投标。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8.2 因成交供应商原因造成采购供货合同无法按时签订或在签定采购供货合同之后，中标方单方面要求解除合同的，视为中标方违约，采购人有权没收其投标保证金，如投标保证金不能弥补违约对采购人造成的损失的，成交供应商还需另行支付相应的赔偿。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8.3 因成交供应商原因发生重大质量或安全事故，除依约承担赔偿责任外，还将按有关质量管理办法规定执行。同时，采购人有权保留更换中标方的权利，并报相关行政主管部门处罚。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8.4 在明确违约责任后，成交供应商应在接到书面通知书起七天内支付违约金、赔偿金等。 </w:t>
      </w:r>
    </w:p>
    <w:p>
      <w:pPr>
        <w:pStyle w:val="8"/>
        <w:spacing w:line="360" w:lineRule="auto"/>
        <w:ind w:firstLine="480" w:firstLineChars="200"/>
        <w:jc w:val="both"/>
        <w:outlineLvl w:val="2"/>
        <w:rPr>
          <w:rFonts w:hint="eastAsia" w:ascii="黑体" w:hAnsi="黑体" w:eastAsia="黑体" w:cs="黑体"/>
          <w:b/>
          <w:color w:val="auto"/>
          <w:sz w:val="24"/>
          <w:szCs w:val="24"/>
          <w:highlight w:val="none"/>
        </w:rPr>
      </w:pPr>
      <w:r>
        <w:rPr>
          <w:rFonts w:hint="eastAsia" w:ascii="黑体" w:hAnsi="黑体" w:eastAsia="黑体" w:cs="黑体"/>
          <w:color w:val="auto"/>
          <w:kern w:val="0"/>
          <w:sz w:val="24"/>
          <w:szCs w:val="24"/>
          <w:highlight w:val="none"/>
          <w:lang w:val="en-US" w:eastAsia="zh-CN" w:bidi="ar"/>
        </w:rPr>
        <w:t>8.5 本项目不允许中标人以任何名义和理由进行转包，如有发现，采购人有权单方终止合同，视为中标人违约，中标人违约对采购人造成的损失的，需另行支付相应的赔偿。</w:t>
      </w:r>
    </w:p>
    <w:p>
      <w:pPr>
        <w:pStyle w:val="8"/>
        <w:spacing w:line="360" w:lineRule="auto"/>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四、其他事项</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8"/>
        <w:spacing w:line="360" w:lineRule="auto"/>
        <w:ind w:firstLine="480" w:firstLineChars="200"/>
        <w:jc w:val="both"/>
        <w:outlineLvl w:val="2"/>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2、其他：</w:t>
      </w:r>
      <w:r>
        <w:rPr>
          <w:rFonts w:hint="eastAsia" w:ascii="黑体" w:hAnsi="黑体" w:eastAsia="黑体" w:cs="黑体"/>
          <w:b w:val="0"/>
          <w:bCs w:val="0"/>
          <w:color w:val="auto"/>
          <w:sz w:val="24"/>
          <w:szCs w:val="24"/>
          <w:highlight w:val="none"/>
          <w:lang w:val="en-US" w:eastAsia="zh-CN"/>
        </w:rPr>
        <w:t>无</w:t>
      </w:r>
      <w:r>
        <w:rPr>
          <w:rFonts w:hint="eastAsia" w:ascii="黑体" w:hAnsi="黑体" w:eastAsia="黑体" w:cs="黑体"/>
          <w:b w:val="0"/>
          <w:bCs w:val="0"/>
          <w:color w:val="auto"/>
          <w:sz w:val="24"/>
          <w:szCs w:val="24"/>
          <w:highlight w:val="none"/>
        </w:rPr>
        <w:t>。</w:t>
      </w:r>
    </w:p>
    <w:p>
      <w:pPr>
        <w:pStyle w:val="8"/>
        <w:spacing w:line="360" w:lineRule="auto"/>
        <w:jc w:val="both"/>
        <w:outlineLvl w:val="2"/>
        <w:rPr>
          <w:rFonts w:hint="eastAsia" w:ascii="黑体" w:hAnsi="黑体" w:eastAsia="黑体" w:cs="黑体"/>
          <w:b/>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w:t>
      </w:r>
      <w:r>
        <w:rPr>
          <w:rFonts w:hint="eastAsia" w:ascii="黑体" w:hAnsi="黑体" w:eastAsia="黑体" w:cs="黑体"/>
          <w:b/>
          <w:bCs/>
          <w:color w:val="auto"/>
          <w:sz w:val="24"/>
          <w:szCs w:val="24"/>
          <w:highlight w:val="none"/>
          <w:lang w:val="en-US" w:eastAsia="zh-CN"/>
        </w:rPr>
        <w:t>3</w:t>
      </w:r>
      <w:r>
        <w:rPr>
          <w:rFonts w:hint="eastAsia" w:ascii="黑体" w:hAnsi="黑体" w:eastAsia="黑体" w:cs="黑体"/>
          <w:b/>
          <w:bCs/>
          <w:color w:val="auto"/>
          <w:sz w:val="24"/>
          <w:szCs w:val="24"/>
          <w:highlight w:val="none"/>
        </w:rPr>
        <w:t>：</w:t>
      </w:r>
    </w:p>
    <w:tbl>
      <w:tblPr>
        <w:tblStyle w:val="5"/>
        <w:tblW w:w="498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1"/>
        <w:gridCol w:w="1253"/>
        <w:gridCol w:w="2423"/>
        <w:gridCol w:w="53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参数性质</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类型</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交货时间</w:t>
            </w:r>
          </w:p>
        </w:tc>
        <w:tc>
          <w:tcPr>
            <w:tcW w:w="2733" w:type="pct"/>
            <w:vAlign w:val="center"/>
          </w:tcPr>
          <w:p>
            <w:pPr>
              <w:pStyle w:val="8"/>
              <w:spacing w:line="360" w:lineRule="auto"/>
              <w:jc w:val="center"/>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自合同签订生效之日起60日内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交货地点</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交货条件</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验收合格，交付使用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7" w:hRule="atLeast"/>
        </w:trPr>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是否邀请投标人验收</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履约验收方式</w:t>
            </w:r>
          </w:p>
        </w:tc>
        <w:tc>
          <w:tcPr>
            <w:tcW w:w="2733" w:type="pct"/>
            <w:vAlign w:val="center"/>
          </w:tcPr>
          <w:p>
            <w:pPr>
              <w:pStyle w:val="8"/>
              <w:spacing w:line="360" w:lineRule="auto"/>
              <w:jc w:val="center"/>
              <w:rPr>
                <w:rFonts w:hint="eastAsia" w:ascii="黑体" w:hAnsi="黑体" w:eastAsia="黑体" w:cs="黑体"/>
                <w:color w:val="auto"/>
                <w:sz w:val="24"/>
                <w:szCs w:val="24"/>
                <w:highlight w:val="none"/>
                <w:lang w:val="en-US" w:eastAsia="zh-Hans"/>
              </w:rPr>
            </w:pPr>
            <w:r>
              <w:rPr>
                <w:rFonts w:hint="eastAsia" w:ascii="黑体" w:hAnsi="黑体" w:eastAsia="黑体" w:cs="黑体"/>
                <w:color w:val="auto"/>
                <w:sz w:val="24"/>
                <w:szCs w:val="24"/>
                <w:highlight w:val="none"/>
              </w:rPr>
              <w:t>期次</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，说明：详见其他商务要求中规定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合同支付方式</w:t>
            </w:r>
          </w:p>
        </w:tc>
        <w:tc>
          <w:tcPr>
            <w:tcW w:w="2733" w:type="pct"/>
            <w:vAlign w:val="center"/>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初验：</w:t>
            </w:r>
            <w:r>
              <w:rPr>
                <w:rFonts w:hint="eastAsia" w:ascii="黑体" w:hAnsi="黑体" w:eastAsia="黑体" w:cs="黑体"/>
                <w:color w:val="auto"/>
                <w:sz w:val="24"/>
                <w:szCs w:val="24"/>
                <w:highlight w:val="none"/>
              </w:rPr>
              <w:t>设备全部到货</w:t>
            </w:r>
            <w:r>
              <w:rPr>
                <w:rFonts w:hint="eastAsia" w:ascii="黑体" w:hAnsi="黑体" w:eastAsia="黑体" w:cs="黑体"/>
                <w:color w:val="auto"/>
                <w:sz w:val="24"/>
                <w:szCs w:val="24"/>
                <w:highlight w:val="none"/>
                <w:lang w:val="en-US" w:eastAsia="zh-CN"/>
              </w:rPr>
              <w:t>经采购人验收合格后</w:t>
            </w:r>
            <w:r>
              <w:rPr>
                <w:rFonts w:hint="eastAsia" w:ascii="黑体" w:hAnsi="黑体" w:eastAsia="黑体" w:cs="黑体"/>
                <w:color w:val="auto"/>
                <w:sz w:val="24"/>
                <w:szCs w:val="24"/>
                <w:highlight w:val="none"/>
              </w:rPr>
              <w:t>，达到付款条件起</w:t>
            </w:r>
            <w:r>
              <w:rPr>
                <w:rFonts w:hint="eastAsia" w:ascii="黑体" w:hAnsi="黑体" w:eastAsia="黑体" w:cs="黑体"/>
                <w:color w:val="auto"/>
                <w:sz w:val="24"/>
                <w:szCs w:val="24"/>
                <w:highlight w:val="none"/>
                <w:lang w:val="en-US" w:eastAsia="zh-CN"/>
              </w:rPr>
              <w:t>30</w:t>
            </w:r>
            <w:r>
              <w:rPr>
                <w:rFonts w:hint="eastAsia" w:ascii="黑体" w:hAnsi="黑体" w:eastAsia="黑体" w:cs="黑体"/>
                <w:color w:val="auto"/>
                <w:sz w:val="24"/>
                <w:szCs w:val="24"/>
                <w:highlight w:val="none"/>
              </w:rPr>
              <w:t>日内，支付合同总金额的</w:t>
            </w:r>
            <w:r>
              <w:rPr>
                <w:rFonts w:hint="eastAsia" w:ascii="黑体" w:hAnsi="黑体" w:eastAsia="黑体" w:cs="黑体"/>
                <w:color w:val="auto"/>
                <w:sz w:val="24"/>
                <w:szCs w:val="24"/>
                <w:highlight w:val="none"/>
                <w:lang w:val="en-US" w:eastAsia="zh-CN"/>
              </w:rPr>
              <w:t>50</w:t>
            </w:r>
            <w:r>
              <w:rPr>
                <w:rFonts w:hint="eastAsia" w:ascii="黑体" w:hAnsi="黑体" w:eastAsia="黑体" w:cs="黑体"/>
                <w:color w:val="auto"/>
                <w:sz w:val="24"/>
                <w:szCs w:val="24"/>
                <w:highlight w:val="none"/>
              </w:rPr>
              <w:t>.00%</w:t>
            </w:r>
          </w:p>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终验：</w:t>
            </w:r>
            <w:r>
              <w:rPr>
                <w:rFonts w:hint="eastAsia" w:ascii="黑体" w:hAnsi="黑体" w:eastAsia="黑体" w:cs="黑体"/>
                <w:color w:val="auto"/>
                <w:sz w:val="24"/>
                <w:szCs w:val="24"/>
                <w:highlight w:val="none"/>
              </w:rPr>
              <w:t>验收合格后，</w:t>
            </w:r>
            <w:r>
              <w:rPr>
                <w:rFonts w:hint="eastAsia" w:ascii="黑体" w:hAnsi="黑体" w:eastAsia="黑体" w:cs="黑体"/>
                <w:color w:val="auto"/>
                <w:sz w:val="24"/>
                <w:szCs w:val="24"/>
                <w:highlight w:val="none"/>
                <w:lang w:val="en-US" w:eastAsia="zh-CN"/>
              </w:rPr>
              <w:t>试运行3个月，无任何质量问题，</w:t>
            </w:r>
            <w:r>
              <w:rPr>
                <w:rFonts w:hint="eastAsia" w:ascii="黑体" w:hAnsi="黑体" w:eastAsia="黑体" w:cs="黑体"/>
                <w:color w:val="auto"/>
                <w:sz w:val="24"/>
                <w:szCs w:val="24"/>
                <w:highlight w:val="none"/>
              </w:rPr>
              <w:t>达到付款条件起</w:t>
            </w:r>
            <w:r>
              <w:rPr>
                <w:rFonts w:hint="eastAsia" w:ascii="黑体" w:hAnsi="黑体" w:eastAsia="黑体" w:cs="黑体"/>
                <w:color w:val="auto"/>
                <w:sz w:val="24"/>
                <w:szCs w:val="24"/>
                <w:highlight w:val="none"/>
                <w:lang w:val="en-US" w:eastAsia="zh-CN"/>
              </w:rPr>
              <w:t>30</w:t>
            </w:r>
            <w:r>
              <w:rPr>
                <w:rFonts w:hint="eastAsia" w:ascii="黑体" w:hAnsi="黑体" w:eastAsia="黑体" w:cs="黑体"/>
                <w:color w:val="auto"/>
                <w:sz w:val="24"/>
                <w:szCs w:val="24"/>
                <w:highlight w:val="none"/>
              </w:rPr>
              <w:t>日内，支付合同总金额的</w:t>
            </w:r>
            <w:r>
              <w:rPr>
                <w:rFonts w:hint="eastAsia" w:ascii="黑体" w:hAnsi="黑体" w:eastAsia="黑体" w:cs="黑体"/>
                <w:color w:val="auto"/>
                <w:sz w:val="24"/>
                <w:szCs w:val="24"/>
                <w:highlight w:val="none"/>
                <w:lang w:val="en-US" w:eastAsia="zh-CN"/>
              </w:rPr>
              <w:t>50</w:t>
            </w:r>
            <w:r>
              <w:rPr>
                <w:rFonts w:hint="eastAsia" w:ascii="黑体" w:hAnsi="黑体" w:eastAsia="黑体" w:cs="黑体"/>
                <w:color w:val="auto"/>
                <w:sz w:val="24"/>
                <w:szCs w:val="24"/>
                <w:highlight w:val="none"/>
              </w:rPr>
              <w:t>.00%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履约保证金</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无</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其他商务要求</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1、安装调试</w:t>
      </w:r>
      <w:r>
        <w:rPr>
          <w:rFonts w:hint="eastAsia" w:ascii="黑体" w:hAnsi="黑体" w:eastAsia="黑体" w:cs="黑体"/>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1.1 中标人在货物运抵现场前，向采购人提供安装进度计划表及需采购人配合的事项。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1.2 由中标人负责将货物按签订合同的具体数量、具体地点运送到最终目的地，中标人 负责派技术人员到现场进行安装、调试至验收合格交付采购人使用。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1.3 安装施工过程中，应事先通知采购人，经同意后再进行实施。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1.4 中标人在施工、制作、运输、安装、布线及调试过程中，应严格按照国家有关的操作规程和施工规范进行作业，确保安装牢固，安全可靠。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1.5 中标人在制作运输安装过程中，应加强作业现场管理，保持整洁有序，不得破坏环 境，否则由中标人负全责。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1.6 中标人必须加强制作、运输及安装施工过程中的安全防护，在此过程中，如因中标人原因导致的双方及第三方的任何人身、设备安全事故及财产损失均由中标人负全责。 </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1.7 中标人施工包含对现有利旧设备搬迁到指定位置利旧使用，需搬迁安装设备包括操作台、电脑电器、通讯设备、会控音控设备、线路等相关设备设施，搬迁后相关设备应及时调试并恢复正常使用，运输及安装施工过程中如因中标人原因导致设备损坏，造成损失均由中标人负全责。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1.8 免送货上门费、免安装费、免咨询及技术培训费。货物运输及安装调试所需所有费用由中标人支付。 </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2、验收要求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按国家行业标准验收，由中标人、采购人共同完成。中标人在验收前必须向采购人提供产品合格证、保修卡、设备安装报告等资料。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2.1.验收规则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2.1.1 验收标准：所有设备均需按照国家规定标准、制造商产品验收标准、本招标文件及投标文件相关内容进行验收。系统符合招标文件、部省相关技术规范和国家有关质量标准。 </w:t>
      </w:r>
    </w:p>
    <w:p>
      <w:pPr>
        <w:keepNext w:val="0"/>
        <w:keepLines w:val="0"/>
        <w:widowControl/>
        <w:suppressLineNumbers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设备质量达到设计要求，安装调试各项指标和功能符合技术要求，产品能通过相关检验部门的检验。 </w:t>
      </w:r>
      <w:r>
        <w:rPr>
          <w:rFonts w:hint="eastAsia" w:ascii="黑体" w:hAnsi="黑体" w:eastAsia="黑体" w:cs="黑体"/>
          <w:b/>
          <w:bCs/>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2.1.2 货物验收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2.1.2.1 到货验收：所有设备到货后，招标人、中标人与监理方一同拆箱，对其全部产品、零件、配件的型号规格、数量、外型、外观、包装进行到货检查。并与装箱单对比，如有出入应立即书面记录，由中标人解决。如影响安装则按招标文件或合同有关条款处理。若到货产品指标低于招标文件要求的，视为虚假投标，招标人有权拒收，并要求中标人在 15 个日历日内整改或升级更换相关软硬件，直至满足招标文件的要求，无法按期实现的，招标人有权单方中止合同，并按有关规定追究中标人违约责任并没收项目履约保证金。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2.1.2.2 初步验收：在本项目系统建设工程全部完成并具备试运行条件后进行初验。由中标人向采购人提出初验申请，采购人根据合同约定和国家的相关标准对项目进行验收，并提出整改意见，如果无整改意见或中标方按整改意见完成整改后双方签署《初验合格报告》。 </w:t>
      </w:r>
    </w:p>
    <w:p>
      <w:pPr>
        <w:keepNext w:val="0"/>
        <w:keepLines w:val="0"/>
        <w:widowControl/>
        <w:suppressLineNumbers w:val="0"/>
        <w:spacing w:line="360" w:lineRule="auto"/>
        <w:ind w:firstLine="480" w:firstLineChars="200"/>
        <w:jc w:val="left"/>
        <w:rPr>
          <w:rFonts w:hint="eastAsia" w:ascii="黑体" w:hAnsi="黑体" w:eastAsia="黑体" w:cs="黑体"/>
          <w:color w:val="auto"/>
          <w:kern w:val="0"/>
          <w:sz w:val="24"/>
          <w:szCs w:val="24"/>
          <w:highlight w:val="none"/>
          <w:lang w:val="en-US" w:eastAsia="zh-CN" w:bidi="ar"/>
        </w:rPr>
      </w:pPr>
      <w:r>
        <w:rPr>
          <w:rFonts w:hint="eastAsia" w:ascii="黑体" w:hAnsi="黑体" w:eastAsia="黑体" w:cs="黑体"/>
          <w:color w:val="auto"/>
          <w:kern w:val="0"/>
          <w:sz w:val="24"/>
          <w:szCs w:val="24"/>
          <w:highlight w:val="none"/>
          <w:lang w:val="en-US" w:eastAsia="zh-CN" w:bidi="ar"/>
        </w:rPr>
        <w:t>2.1.2.3 最终验收：自初验完成之日起，系统稳定运行 3 个月以上，并通过第三方检测，中标人可向采购人提出终验申请。由采购人负责组织有关专家并会同成交供应商按本项目验收标准进行最终验收。现场验收按国家行业标准及招标文件要求进行，经验收的所有货物（系统）安装调试后的各项技术参数、性能指标配置及其质量等均必须符合招标文件要求及投标响应文件承诺，并达到国家强制标准，其结果由双方确认签署的最终验收合格报告为准。若发现设备质量问题，成交供应商应无条件免费更换，并无条件重新检测并调试,直至验收合格签收交付使用。</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由采购人组织有关专家和业务部门根据合同约定和国家的相关标准对项目进行终验，并对有异议和疑义项提出书面说明，无异议则签订《终验合格报告》。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最终验收后六个月内如发现货物不符合要求的，中标人应在收到更换货物通知后一周内无条件免费更换货物。 </w:t>
      </w:r>
    </w:p>
    <w:p>
      <w:pPr>
        <w:keepNext w:val="0"/>
        <w:keepLines w:val="0"/>
        <w:widowControl/>
        <w:numPr>
          <w:ilvl w:val="0"/>
          <w:numId w:val="0"/>
        </w:numPr>
        <w:suppressLineNumbers w:val="0"/>
        <w:spacing w:line="360" w:lineRule="auto"/>
        <w:ind w:firstLine="481" w:firstLineChars="200"/>
        <w:jc w:val="left"/>
        <w:rPr>
          <w:rFonts w:hint="eastAsia" w:ascii="黑体" w:hAnsi="黑体" w:eastAsia="黑体" w:cs="黑体"/>
          <w:b/>
          <w:bCs/>
          <w:color w:val="auto"/>
          <w:kern w:val="0"/>
          <w:sz w:val="24"/>
          <w:szCs w:val="24"/>
          <w:highlight w:val="none"/>
          <w:lang w:val="en-US" w:eastAsia="zh-CN" w:bidi="ar"/>
        </w:rPr>
      </w:pPr>
      <w:r>
        <w:rPr>
          <w:rFonts w:hint="eastAsia" w:ascii="黑体" w:hAnsi="黑体" w:eastAsia="黑体" w:cs="黑体"/>
          <w:b/>
          <w:bCs/>
          <w:color w:val="auto"/>
          <w:kern w:val="0"/>
          <w:sz w:val="24"/>
          <w:szCs w:val="24"/>
          <w:highlight w:val="none"/>
          <w:lang w:val="en-US" w:eastAsia="zh-CN" w:bidi="ar"/>
        </w:rPr>
        <w:t>3、报价要求：投标人应书面承诺：</w:t>
      </w:r>
    </w:p>
    <w:p>
      <w:pPr>
        <w:keepNext w:val="0"/>
        <w:keepLines w:val="0"/>
        <w:widowControl/>
        <w:numPr>
          <w:ilvl w:val="0"/>
          <w:numId w:val="0"/>
        </w:numPr>
        <w:suppressLineNumbers w:val="0"/>
        <w:spacing w:line="360" w:lineRule="auto"/>
        <w:ind w:firstLine="481" w:firstLineChars="200"/>
        <w:jc w:val="left"/>
        <w:rPr>
          <w:rFonts w:hint="eastAsia" w:ascii="黑体" w:hAnsi="黑体" w:eastAsia="黑体" w:cs="黑体"/>
          <w:b/>
          <w:bCs/>
          <w:color w:val="auto"/>
          <w:kern w:val="0"/>
          <w:sz w:val="24"/>
          <w:szCs w:val="24"/>
          <w:highlight w:val="none"/>
          <w:lang w:val="en-US" w:eastAsia="zh-CN" w:bidi="ar"/>
        </w:rPr>
      </w:pPr>
      <w:r>
        <w:rPr>
          <w:rFonts w:hint="eastAsia" w:ascii="黑体" w:hAnsi="黑体" w:eastAsia="黑体" w:cs="黑体"/>
          <w:b/>
          <w:bCs/>
          <w:color w:val="auto"/>
          <w:kern w:val="0"/>
          <w:sz w:val="24"/>
          <w:szCs w:val="24"/>
          <w:highlight w:val="none"/>
          <w:lang w:val="en-US" w:eastAsia="zh-CN" w:bidi="ar"/>
        </w:rPr>
        <w:t>本项目为交钥匙工程，设备清单与技术要求中未明确列出实际施工中确需要用到的一切相关设备、辅材、人工费、税费等均包含在本项目中，应保证设备正常运作所需的最低要求，如有遗漏，投标人应予以补充，不另行付费。潜在的投标人一旦中标，即视为已行使上述权利，表明投标人完全了解现场情况，自愿承担由此引起的一切不利自己的风险后果，并自愿承担相关法律责任。</w:t>
      </w:r>
    </w:p>
    <w:p>
      <w:pPr>
        <w:keepNext w:val="0"/>
        <w:keepLines w:val="0"/>
        <w:widowControl/>
        <w:numPr>
          <w:ilvl w:val="0"/>
          <w:numId w:val="0"/>
        </w:numPr>
        <w:suppressLineNumbers w:val="0"/>
        <w:spacing w:line="360" w:lineRule="auto"/>
        <w:ind w:firstLine="481" w:firstLineChars="200"/>
        <w:jc w:val="left"/>
        <w:rPr>
          <w:rFonts w:hint="eastAsia" w:ascii="黑体" w:hAnsi="黑体" w:eastAsia="黑体" w:cs="黑体"/>
          <w:b/>
          <w:bCs/>
          <w:color w:val="auto"/>
          <w:kern w:val="0"/>
          <w:sz w:val="24"/>
          <w:szCs w:val="24"/>
          <w:highlight w:val="none"/>
          <w:lang w:val="en-US" w:eastAsia="zh-CN" w:bidi="ar"/>
        </w:rPr>
      </w:pPr>
      <w:r>
        <w:rPr>
          <w:rFonts w:hint="eastAsia" w:ascii="黑体" w:hAnsi="黑体" w:eastAsia="黑体" w:cs="黑体"/>
          <w:b/>
          <w:bCs/>
          <w:color w:val="auto"/>
          <w:kern w:val="0"/>
          <w:sz w:val="24"/>
          <w:szCs w:val="24"/>
          <w:highlight w:val="none"/>
          <w:lang w:val="en-US" w:eastAsia="zh-CN" w:bidi="ar"/>
        </w:rPr>
        <w:t>采购人不另行组织现场勘察。各潜在投标人可在招标公示后至公示期结束前与采购人联系后亲临现场作详细勘察 。依据现场实际情况及采购人需求，在完全满足业主个性化要求的情况下完成硬件环境调研。</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4、技术培训及技术资料要求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4.1、为了保障项目能有序受控地进行，保证系统能稳定、高效地运行，根据本采购项目的特点及技术要求，中标人应提供多种方式的用户培训，应充分满足各个层次不同培训对象的需求，协助用户单位建立一支技术过硬、业务精通的应用及维护队伍。通过培训使各级相关人员熟悉相关设备的使用。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4.2 对采购人的技术人员进行培训，中标人应安排专业技术人员免费对采购人技术人员进行使用操作、设备维修、保养等技术培训，直至采购人的技术人员能熟练独立工作为止，其间所发生的一切培训费包括中标人一切费用（包含住宿、交通、生活补助等）由中标人承担。培训所有的费用均计入总报价。 </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5、日常运维要求</w:t>
      </w:r>
      <w:r>
        <w:rPr>
          <w:rFonts w:hint="eastAsia" w:ascii="黑体" w:hAnsi="黑体" w:eastAsia="黑体" w:cs="黑体"/>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中标人应对本项目建设内容进行定期巡查（每季度一次）、测试和维护保养，发现问题立刻处理。对可能存在的故障点进行相应整改，及时排除隐患因素；对设备的故障及时通知相关单位或人员处理。中标人出具每季度巡查报告，并由各使用单位签字确认。 </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6、重大活动保障要求</w:t>
      </w:r>
      <w:r>
        <w:rPr>
          <w:rFonts w:hint="eastAsia" w:ascii="黑体" w:hAnsi="黑体" w:eastAsia="黑体" w:cs="黑体"/>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用户单位遇到重大活动、重点时段或应急处突等情况需要现场保障时，由中标人派遣专业维护工程师配合用户单位进行现场驻点保障工作。在活动发生前提早做好设备巡检、关键点位测试、系统优化、保障预案建设等工作。 </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7、售后服务要求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7.1 中标人应按以下时限要求对本项目所采购和安装的软硬件设施设备提供免费运维服务：硬件设施设备，终验合格之日起三年（超过三年的设备设施以实际维保为准，少于三年的统一按照三年计算）。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7.2 质保期内，中标方需负责设备和系统的运行、维护和组织管理，具体包括：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7.2.1 负责设备和系统的正常运行与维护工作；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7.2.2 负责设备系统软件的更新与维护；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7.3 项目承建单位提供 7*24 小时技术支持服务，服务响应时间不得超过 1 小时，提供多种运维服务模式，如实时技术支持、热线电话服务、现场支持、备品备件服务、定期巡检服务等。 </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8、违约责任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8.1 若发现投标供应商提供虚假材料或伪造材料谋取中标的，按提供虚假材料谋取中标、成交情形处理，由政府采购监督管理部门按《政府采购法》第七十七条规定处罚，该投标供应商的投标将视为无效投标。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8.2 因成交供应商原因造成采购供货合同无法按时签订或在签定采购供货合同之后，中标方单方面要求解除合同的，视为中标方违约，采购人有权没收其投标保证金，如投标保证金不能弥补违约对采购人造成的损失的，成交供应商还需另行支付相应的赔偿。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8.3 因成交供应商原因发生重大质量或安全事故，除依约承担赔偿责任外，还将按有关质量管理办法规定执行。同时，采购人有权保留更换中标方的权利，并报相关行政主管部门处罚。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8.4 在明确违约责任后，成交供应商应在接到书面通知书起七天内支付违约金、赔偿金等。 </w:t>
      </w:r>
    </w:p>
    <w:p>
      <w:pPr>
        <w:pStyle w:val="8"/>
        <w:spacing w:line="360" w:lineRule="auto"/>
        <w:ind w:firstLine="480" w:firstLineChars="200"/>
        <w:jc w:val="both"/>
        <w:outlineLvl w:val="2"/>
        <w:rPr>
          <w:rFonts w:hint="eastAsia" w:ascii="黑体" w:hAnsi="黑体" w:eastAsia="黑体" w:cs="黑体"/>
          <w:b/>
          <w:color w:val="auto"/>
          <w:sz w:val="24"/>
          <w:szCs w:val="24"/>
          <w:highlight w:val="none"/>
        </w:rPr>
      </w:pPr>
      <w:r>
        <w:rPr>
          <w:rFonts w:hint="eastAsia" w:ascii="黑体" w:hAnsi="黑体" w:eastAsia="黑体" w:cs="黑体"/>
          <w:color w:val="auto"/>
          <w:kern w:val="0"/>
          <w:sz w:val="24"/>
          <w:szCs w:val="24"/>
          <w:highlight w:val="none"/>
          <w:lang w:val="en-US" w:eastAsia="zh-CN" w:bidi="ar"/>
        </w:rPr>
        <w:t>8.5 本项目不允许中标人以任何名义和理由进行转包，如有发现，采购人有权单方终止合同，视为中标人违约，中标人违约对采购人造成的损失的，需另行支付相应的赔偿。</w:t>
      </w:r>
    </w:p>
    <w:p>
      <w:pPr>
        <w:pStyle w:val="8"/>
        <w:spacing w:line="360" w:lineRule="auto"/>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四、其他事项</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8"/>
        <w:spacing w:line="360" w:lineRule="auto"/>
        <w:ind w:firstLine="481" w:firstLineChars="200"/>
        <w:jc w:val="both"/>
        <w:outlineLvl w:val="2"/>
        <w:rPr>
          <w:rFonts w:hint="eastAsia" w:ascii="黑体" w:hAnsi="黑体" w:eastAsia="黑体" w:cs="黑体"/>
          <w:b/>
          <w:color w:val="auto"/>
          <w:sz w:val="24"/>
          <w:szCs w:val="24"/>
          <w:highlight w:val="none"/>
        </w:rPr>
      </w:pPr>
      <w:r>
        <w:rPr>
          <w:rFonts w:hint="eastAsia" w:ascii="黑体" w:hAnsi="黑体" w:eastAsia="黑体" w:cs="黑体"/>
          <w:b/>
          <w:bCs/>
          <w:color w:val="auto"/>
          <w:sz w:val="24"/>
          <w:szCs w:val="24"/>
          <w:highlight w:val="none"/>
        </w:rPr>
        <w:t>2、其他：本</w:t>
      </w:r>
      <w:r>
        <w:rPr>
          <w:rFonts w:hint="eastAsia" w:ascii="黑体" w:hAnsi="黑体" w:eastAsia="黑体" w:cs="黑体"/>
          <w:b/>
          <w:bCs/>
          <w:color w:val="auto"/>
          <w:sz w:val="24"/>
          <w:szCs w:val="24"/>
          <w:highlight w:val="none"/>
          <w:lang w:val="en-US" w:eastAsia="zh-CN"/>
        </w:rPr>
        <w:t>合同包</w:t>
      </w:r>
      <w:r>
        <w:rPr>
          <w:rFonts w:hint="eastAsia" w:ascii="黑体" w:hAnsi="黑体" w:eastAsia="黑体" w:cs="黑体"/>
          <w:b/>
          <w:bCs/>
          <w:color w:val="auto"/>
          <w:sz w:val="24"/>
          <w:szCs w:val="24"/>
          <w:highlight w:val="none"/>
        </w:rPr>
        <w:t>采购的卫星背负站需实现接入市应急局原有已建设370M窄带移动基站，实现370M窄带信号通过卫星背负站的卫星信号传输与市应急局已建设的卫星地面站互联互通形成组网配合使用。本项目采购的对讲机需实现接入市应急局原有已建设370M窄带固定和移动基站使用，实现互联互通形成组网配合使用。</w:t>
      </w:r>
    </w:p>
    <w:p>
      <w:pPr>
        <w:pStyle w:val="8"/>
        <w:spacing w:line="360" w:lineRule="auto"/>
        <w:jc w:val="both"/>
        <w:outlineLvl w:val="2"/>
        <w:rPr>
          <w:rFonts w:hint="eastAsia" w:ascii="黑体" w:hAnsi="黑体" w:eastAsia="黑体" w:cs="黑体"/>
          <w:b/>
          <w:color w:val="auto"/>
          <w:sz w:val="24"/>
          <w:szCs w:val="24"/>
          <w:highlight w:val="none"/>
        </w:rPr>
      </w:pPr>
    </w:p>
    <w:p>
      <w:pPr>
        <w:pStyle w:val="8"/>
        <w:spacing w:line="360" w:lineRule="auto"/>
        <w:jc w:val="both"/>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采购包</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w:t>
      </w:r>
    </w:p>
    <w:tbl>
      <w:tblPr>
        <w:tblStyle w:val="5"/>
        <w:tblW w:w="498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1"/>
        <w:gridCol w:w="1253"/>
        <w:gridCol w:w="2423"/>
        <w:gridCol w:w="53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参数性质</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类型</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交货时间</w:t>
            </w:r>
          </w:p>
        </w:tc>
        <w:tc>
          <w:tcPr>
            <w:tcW w:w="2733" w:type="pct"/>
            <w:vAlign w:val="center"/>
          </w:tcPr>
          <w:p>
            <w:pPr>
              <w:pStyle w:val="8"/>
              <w:spacing w:line="360" w:lineRule="auto"/>
              <w:jc w:val="center"/>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自合同签订生效之日起60日内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交货地点</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交货条件</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验收合格，交付使用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是否邀请投标人验收</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履约验收方式</w:t>
            </w:r>
          </w:p>
        </w:tc>
        <w:tc>
          <w:tcPr>
            <w:tcW w:w="2733" w:type="pct"/>
            <w:vAlign w:val="center"/>
          </w:tcPr>
          <w:p>
            <w:pPr>
              <w:pStyle w:val="8"/>
              <w:spacing w:line="360" w:lineRule="auto"/>
              <w:jc w:val="center"/>
              <w:rPr>
                <w:rFonts w:hint="eastAsia" w:ascii="黑体" w:hAnsi="黑体" w:eastAsia="黑体" w:cs="黑体"/>
                <w:color w:val="auto"/>
                <w:sz w:val="24"/>
                <w:szCs w:val="24"/>
                <w:highlight w:val="none"/>
                <w:lang w:val="en-US" w:eastAsia="zh-Hans"/>
              </w:rPr>
            </w:pPr>
            <w:r>
              <w:rPr>
                <w:rFonts w:hint="eastAsia" w:ascii="黑体" w:hAnsi="黑体" w:eastAsia="黑体" w:cs="黑体"/>
                <w:color w:val="auto"/>
                <w:sz w:val="24"/>
                <w:szCs w:val="24"/>
                <w:highlight w:val="none"/>
              </w:rPr>
              <w:t>期次1，说明：详见其他商务要求中规定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合同支付方式</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1、设备全部到货</w:t>
            </w:r>
            <w:r>
              <w:rPr>
                <w:rFonts w:hint="eastAsia" w:ascii="黑体" w:hAnsi="黑体" w:eastAsia="黑体" w:cs="黑体"/>
                <w:color w:val="auto"/>
                <w:sz w:val="24"/>
                <w:szCs w:val="24"/>
                <w:highlight w:val="none"/>
                <w:lang w:val="en-US" w:eastAsia="zh-CN"/>
              </w:rPr>
              <w:t>经采购人验收合格后</w:t>
            </w:r>
            <w:r>
              <w:rPr>
                <w:rFonts w:hint="eastAsia" w:ascii="黑体" w:hAnsi="黑体" w:eastAsia="黑体" w:cs="黑体"/>
                <w:color w:val="auto"/>
                <w:sz w:val="24"/>
                <w:szCs w:val="24"/>
                <w:highlight w:val="none"/>
              </w:rPr>
              <w:t>，达到付款条件起</w:t>
            </w:r>
            <w:r>
              <w:rPr>
                <w:rFonts w:hint="eastAsia" w:ascii="黑体" w:hAnsi="黑体" w:eastAsia="黑体" w:cs="黑体"/>
                <w:color w:val="auto"/>
                <w:sz w:val="24"/>
                <w:szCs w:val="24"/>
                <w:highlight w:val="none"/>
                <w:lang w:val="en-US" w:eastAsia="zh-CN"/>
              </w:rPr>
              <w:t>30</w:t>
            </w:r>
            <w:r>
              <w:rPr>
                <w:rFonts w:hint="eastAsia" w:ascii="黑体" w:hAnsi="黑体" w:eastAsia="黑体" w:cs="黑体"/>
                <w:color w:val="auto"/>
                <w:sz w:val="24"/>
                <w:szCs w:val="24"/>
                <w:highlight w:val="none"/>
              </w:rPr>
              <w:t>日内，支付合同总金额的</w:t>
            </w:r>
            <w:r>
              <w:rPr>
                <w:rFonts w:hint="eastAsia" w:ascii="黑体" w:hAnsi="黑体" w:eastAsia="黑体" w:cs="黑体"/>
                <w:color w:val="auto"/>
                <w:sz w:val="24"/>
                <w:szCs w:val="24"/>
                <w:highlight w:val="none"/>
                <w:lang w:val="en-US" w:eastAsia="zh-CN"/>
              </w:rPr>
              <w:t>100</w:t>
            </w:r>
            <w:r>
              <w:rPr>
                <w:rFonts w:hint="eastAsia" w:ascii="黑体" w:hAnsi="黑体" w:eastAsia="黑体" w:cs="黑体"/>
                <w:color w:val="auto"/>
                <w:sz w:val="24"/>
                <w:szCs w:val="24"/>
                <w:highlight w:val="none"/>
              </w:rPr>
              <w:t>.00%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履约保证金</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w:t>
            </w:r>
          </w:p>
        </w:tc>
        <w:tc>
          <w:tcPr>
            <w:tcW w:w="2733" w:type="pct"/>
            <w:vAlign w:val="center"/>
          </w:tcPr>
          <w:p>
            <w:pPr>
              <w:pStyle w:val="8"/>
              <w:spacing w:line="360" w:lineRule="auto"/>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无</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其他商务要求</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1、安装调试</w:t>
      </w:r>
      <w:r>
        <w:rPr>
          <w:rFonts w:hint="eastAsia" w:ascii="黑体" w:hAnsi="黑体" w:eastAsia="黑体" w:cs="黑体"/>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1.1 中标人在货物运抵现场前，向采购人提供安装进度计划表及需采购人配合的事项。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1.2 由中标人负责将货物按签订合同的具体数量、具体地点运送到最终目的地，中标人 负责派技术人员到现场进行安装、调试至验收合格交付采购人使用。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1.3 安装施工过程中，应事先通知采购人，经同意后再进行实施。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1.4 中标人在施工、制作、运输、安装、布线及调试过程中，应严格按照国家有关的操作规程和施工规范进行作业，确保安装牢固，安全可靠。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1.5 中标人在制作运输安装过程中，应加强作业现场管理，保持整洁有序，不得破坏环 境，否则由中标人负全责。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1.6 中标人必须加强制作、运输及安装施工过程中的安全防护，在此过程中，如因中标人原因导致的双方及第三方的任何人身、设备安全事故及财产损失均由中标人负全责。 </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1.7 中标人施工包含对现有利旧设备搬迁到指定位置利旧使用，需搬迁安装设备包括操作台、电脑电器、通讯设备、会控音控设备、线路等相关设备设施，搬迁后相关设备应及时调试并恢复正常使用，运输及安装施工过程中如因中标人原因导致设备损坏，造成损失均由中标人负全责。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1.8 免送货上门费、免安装费、免咨询及技术培训费。货物运输及安装调试所需所有费用由中标人支付。 </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2、验收要求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按国家行业标准验收，由中标人、采购人共同完成。中标人在验收前必须向采购人提供产品合格证、保修卡、设备安装报告等资料。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2.1.验收规则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2.1.1 验收标准：所有设备均需按照国家规定标准、制造商产品验收标准、本招标文件及投标文件相关内容进行验收。系统符合招标文件、部省相关技术规范和国家有关质量标准。 </w:t>
      </w:r>
    </w:p>
    <w:p>
      <w:pPr>
        <w:keepNext w:val="0"/>
        <w:keepLines w:val="0"/>
        <w:widowControl/>
        <w:suppressLineNumbers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设备质量达到设计要求，安装调试各项指标和功能符合技术要求，产品能通过相关检验部门的检验。 </w:t>
      </w:r>
      <w:r>
        <w:rPr>
          <w:rFonts w:hint="eastAsia" w:ascii="黑体" w:hAnsi="黑体" w:eastAsia="黑体" w:cs="黑体"/>
          <w:b/>
          <w:bCs/>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2.1.2 货物验收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2.1.2.1 到货验收：所有设备到货后，招标人、中标人与监理方一同拆箱，对其全部产品、零件、配件的型号规格、数量、外型、外观、包装进行到货检查。并与装箱单对比，如有出入应立即书面记录，由中标人解决。如影响安装则按招标文件或合同有关条款处理。若到货产品指标低于招标文件要求的，视为虚假投标，招标人有权拒收，并要求中标人在 15 个日历日内整改或升级更换相关软硬件，直至满足招标文件的要求，无法按期实现的，招标人有权单方中止合同，并按有关规定追究中标人违约责任并没收项目履约保证金。 </w:t>
      </w:r>
    </w:p>
    <w:p>
      <w:pPr>
        <w:keepNext w:val="0"/>
        <w:keepLines w:val="0"/>
        <w:widowControl/>
        <w:suppressLineNumbers w:val="0"/>
        <w:spacing w:line="360" w:lineRule="auto"/>
        <w:ind w:firstLine="480" w:firstLineChars="200"/>
        <w:jc w:val="left"/>
        <w:rPr>
          <w:rFonts w:hint="eastAsia" w:ascii="黑体" w:hAnsi="黑体" w:eastAsia="黑体" w:cs="黑体"/>
          <w:color w:val="auto"/>
          <w:kern w:val="0"/>
          <w:sz w:val="24"/>
          <w:szCs w:val="24"/>
          <w:highlight w:val="none"/>
          <w:lang w:val="en-US" w:eastAsia="zh-CN" w:bidi="ar"/>
        </w:rPr>
      </w:pPr>
      <w:r>
        <w:rPr>
          <w:rFonts w:hint="eastAsia" w:ascii="黑体" w:hAnsi="黑体" w:eastAsia="黑体" w:cs="黑体"/>
          <w:color w:val="auto"/>
          <w:kern w:val="0"/>
          <w:sz w:val="24"/>
          <w:szCs w:val="24"/>
          <w:highlight w:val="none"/>
          <w:lang w:val="en-US" w:eastAsia="zh-CN" w:bidi="ar"/>
        </w:rPr>
        <w:t>2.1.2.2 最终验收：自到货验收完成之日起，系统稳定运行 1 个月以上，并通过第三方检测，中标人可向采购人提出终验申请。由采购人负责组织有关专家并会同成交供应商按本项目验收标准进行最终验收。现场验收按国家行业标准及招标文件要求进行，经验收的所有货物（系统）安装调试后的各项技术参数、性能指标配置及其质量等均必须符合招标文件要求及投标响应文件承诺，并达到国家强制标准，其结果由双方确认签署的最终验收合格报告为准。若发现设备质量问题，成交供应商应无条件免费更换，并无条件重新检测并调试,直至验收合格签收交付使用。</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由采购人组织有关专家和业务部门根据合同约定和国家的相关标准对项目进行终验，并对有异议和疑义项提出书面说明，无异议则签订《终验合格报告》。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最终验收后六个月内如发现货物不符合要求的，中标人应在收到更换货物通知后一周内无条件免费更换货物。 </w:t>
      </w:r>
    </w:p>
    <w:p>
      <w:pPr>
        <w:keepNext w:val="0"/>
        <w:keepLines w:val="0"/>
        <w:widowControl/>
        <w:numPr>
          <w:ilvl w:val="0"/>
          <w:numId w:val="0"/>
        </w:numPr>
        <w:suppressLineNumbers w:val="0"/>
        <w:spacing w:line="360" w:lineRule="auto"/>
        <w:ind w:firstLine="481" w:firstLineChars="200"/>
        <w:jc w:val="left"/>
        <w:rPr>
          <w:rFonts w:hint="eastAsia" w:ascii="黑体" w:hAnsi="黑体" w:eastAsia="黑体" w:cs="黑体"/>
          <w:b/>
          <w:bCs/>
          <w:color w:val="auto"/>
          <w:kern w:val="0"/>
          <w:sz w:val="24"/>
          <w:szCs w:val="24"/>
          <w:highlight w:val="none"/>
          <w:lang w:val="en-US" w:eastAsia="zh-CN" w:bidi="ar"/>
        </w:rPr>
      </w:pPr>
      <w:r>
        <w:rPr>
          <w:rFonts w:hint="eastAsia" w:ascii="黑体" w:hAnsi="黑体" w:eastAsia="黑体" w:cs="黑体"/>
          <w:b/>
          <w:bCs/>
          <w:color w:val="auto"/>
          <w:kern w:val="0"/>
          <w:sz w:val="24"/>
          <w:szCs w:val="24"/>
          <w:highlight w:val="none"/>
          <w:lang w:val="en-US" w:eastAsia="zh-CN" w:bidi="ar"/>
        </w:rPr>
        <w:t>3、报价要求：投标人应书面承诺：</w:t>
      </w:r>
    </w:p>
    <w:p>
      <w:pPr>
        <w:keepNext w:val="0"/>
        <w:keepLines w:val="0"/>
        <w:widowControl/>
        <w:numPr>
          <w:ilvl w:val="0"/>
          <w:numId w:val="0"/>
        </w:numPr>
        <w:suppressLineNumbers w:val="0"/>
        <w:spacing w:line="360" w:lineRule="auto"/>
        <w:ind w:firstLine="481" w:firstLineChars="200"/>
        <w:jc w:val="left"/>
        <w:rPr>
          <w:rFonts w:hint="eastAsia" w:ascii="黑体" w:hAnsi="黑体" w:eastAsia="黑体" w:cs="黑体"/>
          <w:b/>
          <w:bCs/>
          <w:color w:val="auto"/>
          <w:kern w:val="0"/>
          <w:sz w:val="24"/>
          <w:szCs w:val="24"/>
          <w:highlight w:val="none"/>
          <w:lang w:val="en-US" w:eastAsia="zh-CN" w:bidi="ar"/>
        </w:rPr>
      </w:pPr>
      <w:r>
        <w:rPr>
          <w:rFonts w:hint="eastAsia" w:ascii="黑体" w:hAnsi="黑体" w:eastAsia="黑体" w:cs="黑体"/>
          <w:b/>
          <w:bCs/>
          <w:color w:val="auto"/>
          <w:kern w:val="0"/>
          <w:sz w:val="24"/>
          <w:szCs w:val="24"/>
          <w:highlight w:val="none"/>
          <w:lang w:val="en-US" w:eastAsia="zh-CN" w:bidi="ar"/>
        </w:rPr>
        <w:t>本项目为交钥匙工程，设备清单与技术要求中未明确列出实际施工中确需要用到的一切相关设备、辅材、人工费、税费等均包含在本项目中，应保证设备正常运作所需的最低要求，如有遗漏，投标人应予以补充，不另行付费。潜在的投标人一旦中标，即视为已行使上述权利，表明投标人完全了解现场情况，自愿承担由此引起的一切不利自己的风险后果，并自愿承担相关法律责任。</w:t>
      </w:r>
    </w:p>
    <w:p>
      <w:pPr>
        <w:keepNext w:val="0"/>
        <w:keepLines w:val="0"/>
        <w:widowControl/>
        <w:numPr>
          <w:ilvl w:val="0"/>
          <w:numId w:val="0"/>
        </w:numPr>
        <w:suppressLineNumbers w:val="0"/>
        <w:spacing w:line="360" w:lineRule="auto"/>
        <w:ind w:firstLine="481" w:firstLineChars="200"/>
        <w:jc w:val="left"/>
        <w:rPr>
          <w:rFonts w:hint="eastAsia" w:ascii="黑体" w:hAnsi="黑体" w:eastAsia="黑体" w:cs="黑体"/>
          <w:b/>
          <w:bCs/>
          <w:color w:val="auto"/>
          <w:kern w:val="0"/>
          <w:sz w:val="24"/>
          <w:szCs w:val="24"/>
          <w:highlight w:val="none"/>
          <w:lang w:val="en-US" w:eastAsia="zh-CN" w:bidi="ar"/>
        </w:rPr>
      </w:pPr>
      <w:r>
        <w:rPr>
          <w:rFonts w:hint="eastAsia" w:ascii="黑体" w:hAnsi="黑体" w:eastAsia="黑体" w:cs="黑体"/>
          <w:b/>
          <w:bCs/>
          <w:color w:val="auto"/>
          <w:kern w:val="0"/>
          <w:sz w:val="24"/>
          <w:szCs w:val="24"/>
          <w:highlight w:val="none"/>
          <w:lang w:val="en-US" w:eastAsia="zh-CN" w:bidi="ar"/>
        </w:rPr>
        <w:t>采购人不另行组织现场勘察。各潜在投标人可在招标公示后至公示期结束前与采购人联系后亲临现场作详细勘察 。依据现场实际情况及采购人需求，在完全满足业主个性化要求的情况下完成硬件环境调研。</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4、技术培训及技术资料要求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4.1、为了保障项目能有序受控地进行，保证系统能稳定、高效地运行，根据本采购项目的特点及技术要求，中标人应提供多种方式的用户培训，应充分满足各个层次不同培训对象的需求，协助用户单位建立一支技术过硬、业务精通的应用及维护队伍。通过培训使各级相关人员熟悉相关设备的使用。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4.2 对采购人的技术人员进行培训，中标人应安排专业技术人员免费对采购人技术人员进行使用操作、设备维修、保养等技术培训，直至采购人的技术人员能熟练独立工作为止，其间所发生的一切培训费包括中标人一切费用（包含住宿、交通、生活补助等）由中标人承担。培训所有的费用均计入总报价。 </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5、日常运维要求</w:t>
      </w:r>
      <w:r>
        <w:rPr>
          <w:rFonts w:hint="eastAsia" w:ascii="黑体" w:hAnsi="黑体" w:eastAsia="黑体" w:cs="黑体"/>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中标人应对本项目建设内容进行定期巡查（每季度一次）、测试和维护保养，发现问题立刻处理。对可能存在的故障点进行相应整改，及时排除隐患因素；对设备的故障及时通知相关单位或人员处理。中标人出具每季度巡查报告，并由各使用单位签字确认。 </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6、重大活动保障要求</w:t>
      </w:r>
      <w:r>
        <w:rPr>
          <w:rFonts w:hint="eastAsia" w:ascii="黑体" w:hAnsi="黑体" w:eastAsia="黑体" w:cs="黑体"/>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用户单位遇到重大活动、重点时段或应急处突等情况需要现场保障时，由中标人派遣专业维护工程师配合用户单位进行现场驻点保障工作。在活动发生前提早做好设备巡检、关键点位测试、系统优化、保障预案建设等工作。 </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7、售后服务要求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7.1 中标人应按以下时限要求对本项目所采购和安装的软硬件设施设备提供免费运维服务：硬件设施设备，终验合格之日起三年（超过三年的设备设施以实际维保为准，少于三年的统一按照三年计算）。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7.2 质保期内，中标方需负责设备和系统的运行、维护和组织管理，具体包括：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7.2.1 负责设备和系统的正常运行与维护工作；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7.2.2 负责设备系统软件的更新与维护；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7.3 项目承建单位提供 7*24 小时技术支持服务，服务响应时间不得超过 1 小时，提供多种运维服务模式，如实时技术支持、热线电话服务、现场支持、备品备件服务、定期巡检服务等。 </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8、违约责任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8.1 若发现投标供应商提供虚假材料或伪造材料谋取中标的，按提供虚假材料谋取中标、成交情形处理，由政府采购监督管理部门按《政府采购法》第七十七条规定处罚，该投标供应商的投标将视为无效投标。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8.2 因成交供应商原因造成采购供货合同无法按时签订或在签定采购供货合同之后，中标方单方面要求解除合同的，视为中标方违约，采购人有权没收其投标保证金，如投标保证金不能弥补违约对采购人造成的损失的，成交供应商还需另行支付相应的赔偿。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8.3 因成交供应商原因发生重大质量或安全事故，除依约承担赔偿责任外，还将按有关质量管理办法规定执行。同时，采购人有权保留更换中标方的权利，并报相关行政主管部门处罚。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8.4 在明确违约责任后，成交供应商应在接到书面通知书起七天内支付违约金、赔偿金等。 </w:t>
      </w:r>
    </w:p>
    <w:p>
      <w:pPr>
        <w:pStyle w:val="8"/>
        <w:spacing w:line="360" w:lineRule="auto"/>
        <w:ind w:firstLine="480" w:firstLineChars="200"/>
        <w:jc w:val="both"/>
        <w:outlineLvl w:val="2"/>
        <w:rPr>
          <w:rFonts w:hint="eastAsia" w:ascii="黑体" w:hAnsi="黑体" w:eastAsia="黑体" w:cs="黑体"/>
          <w:b/>
          <w:color w:val="auto"/>
          <w:sz w:val="24"/>
          <w:szCs w:val="24"/>
          <w:highlight w:val="none"/>
        </w:rPr>
      </w:pPr>
      <w:r>
        <w:rPr>
          <w:rFonts w:hint="eastAsia" w:ascii="黑体" w:hAnsi="黑体" w:eastAsia="黑体" w:cs="黑体"/>
          <w:color w:val="auto"/>
          <w:kern w:val="0"/>
          <w:sz w:val="24"/>
          <w:szCs w:val="24"/>
          <w:highlight w:val="none"/>
          <w:lang w:val="en-US" w:eastAsia="zh-CN" w:bidi="ar"/>
        </w:rPr>
        <w:t>8.5 本项目不允许中标人以任何名义和理由进行转包，如有发现，采购人有权单方终止合同，视为中标人违约，中标人违约对采购人造成的损失的，需另行支付相应的赔偿。</w:t>
      </w:r>
    </w:p>
    <w:p>
      <w:pPr>
        <w:pStyle w:val="8"/>
        <w:spacing w:line="360" w:lineRule="auto"/>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四、其他事项</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8"/>
        <w:spacing w:line="360" w:lineRule="auto"/>
        <w:ind w:firstLine="480" w:firstLineChars="200"/>
        <w:jc w:val="both"/>
        <w:outlineLvl w:val="2"/>
        <w:rPr>
          <w:rFonts w:hint="eastAsia" w:ascii="黑体" w:hAnsi="黑体" w:eastAsia="黑体" w:cs="黑体"/>
          <w:b/>
          <w:color w:val="auto"/>
          <w:sz w:val="24"/>
          <w:szCs w:val="24"/>
          <w:highlight w:val="none"/>
        </w:rPr>
      </w:pPr>
      <w:r>
        <w:rPr>
          <w:rFonts w:hint="eastAsia" w:ascii="黑体" w:hAnsi="黑体" w:eastAsia="黑体" w:cs="黑体"/>
          <w:b w:val="0"/>
          <w:bCs w:val="0"/>
          <w:color w:val="auto"/>
          <w:sz w:val="24"/>
          <w:szCs w:val="24"/>
          <w:highlight w:val="none"/>
        </w:rPr>
        <w:t>2、其他：</w:t>
      </w:r>
      <w:r>
        <w:rPr>
          <w:rFonts w:hint="eastAsia" w:ascii="黑体" w:hAnsi="黑体" w:eastAsia="黑体" w:cs="黑体"/>
          <w:b w:val="0"/>
          <w:bCs w:val="0"/>
          <w:color w:val="auto"/>
          <w:sz w:val="24"/>
          <w:szCs w:val="24"/>
          <w:highlight w:val="none"/>
          <w:lang w:val="en-US" w:eastAsia="zh-CN"/>
        </w:rPr>
        <w:t>无</w:t>
      </w:r>
      <w:r>
        <w:rPr>
          <w:rFonts w:hint="eastAsia" w:ascii="黑体" w:hAnsi="黑体" w:eastAsia="黑体" w:cs="黑体"/>
          <w:b w:val="0"/>
          <w:bCs w:val="0"/>
          <w:color w:val="auto"/>
          <w:sz w:val="24"/>
          <w:szCs w:val="24"/>
          <w:highlight w:val="none"/>
        </w:rPr>
        <w:t>。</w:t>
      </w:r>
    </w:p>
    <w:p>
      <w:pPr>
        <w:pStyle w:val="8"/>
        <w:spacing w:line="360" w:lineRule="auto"/>
        <w:jc w:val="both"/>
        <w:rPr>
          <w:rFonts w:hint="eastAsia" w:ascii="黑体" w:hAnsi="黑体" w:eastAsia="黑体" w:cs="黑体"/>
          <w:b/>
          <w:bCs/>
          <w:color w:val="auto"/>
          <w:sz w:val="24"/>
          <w:szCs w:val="24"/>
          <w:highlight w:val="none"/>
        </w:rPr>
      </w:pPr>
    </w:p>
    <w:p>
      <w:pPr>
        <w:pStyle w:val="8"/>
        <w:spacing w:line="36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采购包</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w:t>
      </w:r>
    </w:p>
    <w:tbl>
      <w:tblPr>
        <w:tblStyle w:val="5"/>
        <w:tblW w:w="498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1"/>
        <w:gridCol w:w="1253"/>
        <w:gridCol w:w="2423"/>
        <w:gridCol w:w="53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参数性质</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类型</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交货时间</w:t>
            </w:r>
          </w:p>
        </w:tc>
        <w:tc>
          <w:tcPr>
            <w:tcW w:w="2733" w:type="pct"/>
            <w:vAlign w:val="center"/>
          </w:tcPr>
          <w:p>
            <w:pPr>
              <w:pStyle w:val="8"/>
              <w:spacing w:line="360" w:lineRule="auto"/>
              <w:jc w:val="center"/>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自合同签订生效之日起60日内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交货地点</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交货条件</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验收合格，交付使用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是否邀请投标人验收</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履约验收方式</w:t>
            </w:r>
          </w:p>
        </w:tc>
        <w:tc>
          <w:tcPr>
            <w:tcW w:w="2733" w:type="pct"/>
            <w:vAlign w:val="center"/>
          </w:tcPr>
          <w:p>
            <w:pPr>
              <w:pStyle w:val="8"/>
              <w:spacing w:line="360" w:lineRule="auto"/>
              <w:jc w:val="center"/>
              <w:rPr>
                <w:rFonts w:hint="eastAsia" w:ascii="黑体" w:hAnsi="黑体" w:eastAsia="黑体" w:cs="黑体"/>
                <w:color w:val="auto"/>
                <w:sz w:val="24"/>
                <w:szCs w:val="24"/>
                <w:highlight w:val="none"/>
                <w:lang w:val="en-US" w:eastAsia="zh-Hans"/>
              </w:rPr>
            </w:pPr>
            <w:r>
              <w:rPr>
                <w:rFonts w:hint="eastAsia" w:ascii="黑体" w:hAnsi="黑体" w:eastAsia="黑体" w:cs="黑体"/>
                <w:color w:val="auto"/>
                <w:sz w:val="24"/>
                <w:szCs w:val="24"/>
                <w:highlight w:val="none"/>
              </w:rPr>
              <w:t>期次</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，说明：详见其他商务要求中规定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合同支付方式</w:t>
            </w:r>
          </w:p>
        </w:tc>
        <w:tc>
          <w:tcPr>
            <w:tcW w:w="2733" w:type="pct"/>
            <w:vAlign w:val="center"/>
          </w:tcPr>
          <w:p>
            <w:pPr>
              <w:pStyle w:val="8"/>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初验：</w:t>
            </w:r>
            <w:r>
              <w:rPr>
                <w:rFonts w:hint="eastAsia" w:ascii="黑体" w:hAnsi="黑体" w:eastAsia="黑体" w:cs="黑体"/>
                <w:color w:val="auto"/>
                <w:sz w:val="24"/>
                <w:szCs w:val="24"/>
                <w:highlight w:val="none"/>
              </w:rPr>
              <w:t>设备全部到货</w:t>
            </w:r>
            <w:r>
              <w:rPr>
                <w:rFonts w:hint="eastAsia" w:ascii="黑体" w:hAnsi="黑体" w:eastAsia="黑体" w:cs="黑体"/>
                <w:color w:val="auto"/>
                <w:sz w:val="24"/>
                <w:szCs w:val="24"/>
                <w:highlight w:val="none"/>
                <w:lang w:val="en-US" w:eastAsia="zh-CN"/>
              </w:rPr>
              <w:t>经采购人验收合格后</w:t>
            </w:r>
            <w:r>
              <w:rPr>
                <w:rFonts w:hint="eastAsia" w:ascii="黑体" w:hAnsi="黑体" w:eastAsia="黑体" w:cs="黑体"/>
                <w:color w:val="auto"/>
                <w:sz w:val="24"/>
                <w:szCs w:val="24"/>
                <w:highlight w:val="none"/>
              </w:rPr>
              <w:t>，达到付款条件起</w:t>
            </w:r>
            <w:r>
              <w:rPr>
                <w:rFonts w:hint="eastAsia" w:ascii="黑体" w:hAnsi="黑体" w:eastAsia="黑体" w:cs="黑体"/>
                <w:color w:val="auto"/>
                <w:sz w:val="24"/>
                <w:szCs w:val="24"/>
                <w:highlight w:val="none"/>
                <w:lang w:val="en-US" w:eastAsia="zh-CN"/>
              </w:rPr>
              <w:t>30</w:t>
            </w:r>
            <w:r>
              <w:rPr>
                <w:rFonts w:hint="eastAsia" w:ascii="黑体" w:hAnsi="黑体" w:eastAsia="黑体" w:cs="黑体"/>
                <w:color w:val="auto"/>
                <w:sz w:val="24"/>
                <w:szCs w:val="24"/>
                <w:highlight w:val="none"/>
              </w:rPr>
              <w:t>日内，支付合同总金额的</w:t>
            </w:r>
            <w:r>
              <w:rPr>
                <w:rFonts w:hint="eastAsia" w:ascii="黑体" w:hAnsi="黑体" w:eastAsia="黑体" w:cs="黑体"/>
                <w:color w:val="auto"/>
                <w:sz w:val="24"/>
                <w:szCs w:val="24"/>
                <w:highlight w:val="none"/>
                <w:lang w:val="en-US" w:eastAsia="zh-CN"/>
              </w:rPr>
              <w:t>50</w:t>
            </w:r>
            <w:r>
              <w:rPr>
                <w:rFonts w:hint="eastAsia" w:ascii="黑体" w:hAnsi="黑体" w:eastAsia="黑体" w:cs="黑体"/>
                <w:color w:val="auto"/>
                <w:sz w:val="24"/>
                <w:szCs w:val="24"/>
                <w:highlight w:val="none"/>
              </w:rPr>
              <w:t>.00%</w:t>
            </w:r>
          </w:p>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终验：</w:t>
            </w:r>
            <w:r>
              <w:rPr>
                <w:rFonts w:hint="eastAsia" w:ascii="黑体" w:hAnsi="黑体" w:eastAsia="黑体" w:cs="黑体"/>
                <w:color w:val="auto"/>
                <w:sz w:val="24"/>
                <w:szCs w:val="24"/>
                <w:highlight w:val="none"/>
              </w:rPr>
              <w:t>验收合格后，</w:t>
            </w:r>
            <w:r>
              <w:rPr>
                <w:rFonts w:hint="eastAsia" w:ascii="黑体" w:hAnsi="黑体" w:eastAsia="黑体" w:cs="黑体"/>
                <w:color w:val="auto"/>
                <w:sz w:val="24"/>
                <w:szCs w:val="24"/>
                <w:highlight w:val="none"/>
                <w:lang w:val="en-US" w:eastAsia="zh-CN"/>
              </w:rPr>
              <w:t>试运行3个月，无任何质量问题，</w:t>
            </w:r>
            <w:r>
              <w:rPr>
                <w:rFonts w:hint="eastAsia" w:ascii="黑体" w:hAnsi="黑体" w:eastAsia="黑体" w:cs="黑体"/>
                <w:color w:val="auto"/>
                <w:sz w:val="24"/>
                <w:szCs w:val="24"/>
                <w:highlight w:val="none"/>
              </w:rPr>
              <w:t>达到付款条件起</w:t>
            </w:r>
            <w:r>
              <w:rPr>
                <w:rFonts w:hint="eastAsia" w:ascii="黑体" w:hAnsi="黑体" w:eastAsia="黑体" w:cs="黑体"/>
                <w:color w:val="auto"/>
                <w:sz w:val="24"/>
                <w:szCs w:val="24"/>
                <w:highlight w:val="none"/>
                <w:lang w:val="en-US" w:eastAsia="zh-CN"/>
              </w:rPr>
              <w:t>30</w:t>
            </w:r>
            <w:r>
              <w:rPr>
                <w:rFonts w:hint="eastAsia" w:ascii="黑体" w:hAnsi="黑体" w:eastAsia="黑体" w:cs="黑体"/>
                <w:color w:val="auto"/>
                <w:sz w:val="24"/>
                <w:szCs w:val="24"/>
                <w:highlight w:val="none"/>
              </w:rPr>
              <w:t>日内，支付合同总金额的</w:t>
            </w:r>
            <w:r>
              <w:rPr>
                <w:rFonts w:hint="eastAsia" w:ascii="黑体" w:hAnsi="黑体" w:eastAsia="黑体" w:cs="黑体"/>
                <w:color w:val="auto"/>
                <w:sz w:val="24"/>
                <w:szCs w:val="24"/>
                <w:highlight w:val="none"/>
                <w:lang w:val="en-US" w:eastAsia="zh-CN"/>
              </w:rPr>
              <w:t>50</w:t>
            </w:r>
            <w:r>
              <w:rPr>
                <w:rFonts w:hint="eastAsia" w:ascii="黑体" w:hAnsi="黑体" w:eastAsia="黑体" w:cs="黑体"/>
                <w:color w:val="auto"/>
                <w:sz w:val="24"/>
                <w:szCs w:val="24"/>
                <w:highlight w:val="none"/>
              </w:rPr>
              <w:t>.00%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履约保证金</w:t>
            </w:r>
          </w:p>
        </w:tc>
        <w:tc>
          <w:tcPr>
            <w:tcW w:w="2733"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w:t>
            </w:r>
          </w:p>
        </w:tc>
        <w:tc>
          <w:tcPr>
            <w:tcW w:w="637"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232" w:type="pct"/>
            <w:vAlign w:val="center"/>
          </w:tcPr>
          <w:p>
            <w:pPr>
              <w:pStyle w:val="8"/>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w:t>
            </w:r>
          </w:p>
        </w:tc>
        <w:tc>
          <w:tcPr>
            <w:tcW w:w="2733" w:type="pct"/>
            <w:vAlign w:val="center"/>
          </w:tcPr>
          <w:p>
            <w:pPr>
              <w:pStyle w:val="8"/>
              <w:spacing w:line="360" w:lineRule="auto"/>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无</w:t>
            </w:r>
          </w:p>
        </w:tc>
      </w:tr>
    </w:tbl>
    <w:p>
      <w:pPr>
        <w:pStyle w:val="8"/>
        <w:spacing w:line="360" w:lineRule="auto"/>
        <w:jc w:val="left"/>
        <w:rPr>
          <w:rFonts w:hint="eastAsia" w:ascii="黑体" w:hAnsi="黑体" w:eastAsia="黑体" w:cs="黑体"/>
          <w:color w:val="auto"/>
          <w:sz w:val="24"/>
          <w:szCs w:val="24"/>
          <w:highlight w:val="none"/>
        </w:rPr>
      </w:pPr>
    </w:p>
    <w:p>
      <w:pPr>
        <w:pStyle w:val="8"/>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其他商务要求</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1、安装调试</w:t>
      </w:r>
      <w:r>
        <w:rPr>
          <w:rFonts w:hint="eastAsia" w:ascii="黑体" w:hAnsi="黑体" w:eastAsia="黑体" w:cs="黑体"/>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1.1 中标人在货物运抵现场前，向采购人提供安装进度计划表及需采购人配合的事项。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1.2 由中标人负责将货物按签订合同的具体数量、具体地点运送到最终目的地，中标人 负责派技术人员到现场进行安装、调试至验收合格交付采购人使用。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1.3 安装施工过程中，应事先通知采购人，经同意后再进行实施。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1.4 中标人在施工、制作、运输、安装、布线及调试过程中，应严格按照国家有关的操作规程和施工规范进行作业，确保安装牢固，安全可靠。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1.5 中标人在制作运输安装过程中，应加强作业现场管理，保持整洁有序，不得破坏环 境，否则由中标人负全责。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1.6 中标人必须加强制作、运输及安装施工过程中的安全防护，在此过程中，如因中标人原因导致的双方及第三方的任何人身、设备安全事故及财产损失均由中标人负全责。 </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1.7 中标人施工包含对现有利旧设备搬迁到指定位置利旧使用，需搬迁安装设备包括操作台、电脑电器、通讯设备、会控音控设备、线路等相关设备设施，搬迁后相关设备应及时调试并恢复正常使用，运输及安装施工过程中如因中标人原因导致设备损坏，造成损失均由中标人负全责。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1.8 免送货上门费、免安装费、免咨询及技术培训费。货物运输及安装调试所需所有费用由中标人支付。 </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2、验收要求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按国家行业标准验收，由中标人、采购人共同完成。中标人在验收前必须向采购人提供产品合格证、保修卡、设备安装报告等资料。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2.1.验收规则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2.1.1 验收标准：所有设备均需按照国家规定标准、制造商产品验收标准、本招标文件及投标文件相关内容进行验收。系统符合招标文件、部省相关技术规范和国家有关质量标准。 </w:t>
      </w:r>
    </w:p>
    <w:p>
      <w:pPr>
        <w:keepNext w:val="0"/>
        <w:keepLines w:val="0"/>
        <w:widowControl/>
        <w:suppressLineNumbers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设备质量达到设计要求，安装调试各项指标和功能符合技术要求，产品能通过相关检验部门的检验。 </w:t>
      </w:r>
      <w:r>
        <w:rPr>
          <w:rFonts w:hint="eastAsia" w:ascii="黑体" w:hAnsi="黑体" w:eastAsia="黑体" w:cs="黑体"/>
          <w:b/>
          <w:bCs/>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2.1.2 货物验收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2.1.2.1 到货验收：所有设备到货后，招标人、中标人与监理方一同拆箱，对其全部产品、零件、配件的型号规格、数量、外型、外观、包装进行到货检查。并与装箱单对比，如有出入应立即书面记录，由中标人解决。如影响安装则按招标文件或合同有关条款处理。若到货产品指标低于招标文件要求的，视为虚假投标，招标人有权拒收，并要求中标人在 15 个日历日内整改或升级更换相关软硬件，直至满足招标文件的要求，无法按期实现的，招标人有权单方中止合同，并按有关规定追究中标人违约责任并没收项目履约保证金。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2.1.2.2 初步验收：在本项目系统建设工程全部完成并具备试运行条件后进行初验。由中标人向采购人提出初验申请，采购人根据合同约定和国家的相关标准对项目进行验收，并提出整改意见，如果无整改意见或中标方按整改意见完成整改后双方签署《初验合格报告》。 </w:t>
      </w:r>
    </w:p>
    <w:p>
      <w:pPr>
        <w:keepNext w:val="0"/>
        <w:keepLines w:val="0"/>
        <w:widowControl/>
        <w:suppressLineNumbers w:val="0"/>
        <w:spacing w:line="360" w:lineRule="auto"/>
        <w:ind w:firstLine="480" w:firstLineChars="200"/>
        <w:jc w:val="left"/>
        <w:rPr>
          <w:rFonts w:hint="eastAsia" w:ascii="黑体" w:hAnsi="黑体" w:eastAsia="黑体" w:cs="黑体"/>
          <w:color w:val="auto"/>
          <w:kern w:val="0"/>
          <w:sz w:val="24"/>
          <w:szCs w:val="24"/>
          <w:highlight w:val="none"/>
          <w:lang w:val="en-US" w:eastAsia="zh-CN" w:bidi="ar"/>
        </w:rPr>
      </w:pPr>
      <w:r>
        <w:rPr>
          <w:rFonts w:hint="eastAsia" w:ascii="黑体" w:hAnsi="黑体" w:eastAsia="黑体" w:cs="黑体"/>
          <w:color w:val="auto"/>
          <w:kern w:val="0"/>
          <w:sz w:val="24"/>
          <w:szCs w:val="24"/>
          <w:highlight w:val="none"/>
          <w:lang w:val="en-US" w:eastAsia="zh-CN" w:bidi="ar"/>
        </w:rPr>
        <w:t>2.1.2.3 最终验收：自初验完成之日起，系统稳定运行 3 个月以上，并通过第三方检测，中标人可向采购人提出终验申请。由采购人负责组织有关专家并会同成交供应商按本项目验收标准进行最终验收。现场验收按国家行业标准及招标文件要求进行，经验收的所有货物（系统）安装调试后的各项技术参数、性能指标配置及其质量等均必须符合招标文件要求及投标响应文件承诺，并达到国家强制标准，其结果由双方确认签署的最终验收合格报告为准。若发现设备质量问题，成交供应商应无条件免费更换，并无条件重新检测并调试,直至验收合格签收交付使用。</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由采购人组织有关专家和业务部门根据合同约定和国家的相关标准对项目进行终验，并对有异议和疑义项提出书面说明，无异议则签订《终验合格报告》。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最终验收后六个月内如发现货物不符合要求的，中标人应在收到更换货物通知后一周内无条件免费更换货物。 </w:t>
      </w:r>
    </w:p>
    <w:p>
      <w:pPr>
        <w:keepNext w:val="0"/>
        <w:keepLines w:val="0"/>
        <w:widowControl/>
        <w:numPr>
          <w:ilvl w:val="0"/>
          <w:numId w:val="0"/>
        </w:numPr>
        <w:suppressLineNumbers w:val="0"/>
        <w:spacing w:line="360" w:lineRule="auto"/>
        <w:ind w:firstLine="481" w:firstLineChars="200"/>
        <w:jc w:val="left"/>
        <w:rPr>
          <w:rFonts w:hint="eastAsia" w:ascii="黑体" w:hAnsi="黑体" w:eastAsia="黑体" w:cs="黑体"/>
          <w:b/>
          <w:bCs/>
          <w:color w:val="auto"/>
          <w:kern w:val="0"/>
          <w:sz w:val="24"/>
          <w:szCs w:val="24"/>
          <w:highlight w:val="none"/>
          <w:lang w:val="en-US" w:eastAsia="zh-CN" w:bidi="ar"/>
        </w:rPr>
      </w:pPr>
      <w:r>
        <w:rPr>
          <w:rFonts w:hint="eastAsia" w:ascii="黑体" w:hAnsi="黑体" w:eastAsia="黑体" w:cs="黑体"/>
          <w:b/>
          <w:bCs/>
          <w:color w:val="auto"/>
          <w:kern w:val="0"/>
          <w:sz w:val="24"/>
          <w:szCs w:val="24"/>
          <w:highlight w:val="none"/>
          <w:lang w:val="en-US" w:eastAsia="zh-CN" w:bidi="ar"/>
        </w:rPr>
        <w:t>3、报价要求：投标人应书面承诺：</w:t>
      </w:r>
    </w:p>
    <w:p>
      <w:pPr>
        <w:keepNext w:val="0"/>
        <w:keepLines w:val="0"/>
        <w:widowControl/>
        <w:numPr>
          <w:ilvl w:val="0"/>
          <w:numId w:val="0"/>
        </w:numPr>
        <w:suppressLineNumbers w:val="0"/>
        <w:spacing w:line="360" w:lineRule="auto"/>
        <w:ind w:firstLine="481" w:firstLineChars="200"/>
        <w:jc w:val="left"/>
        <w:rPr>
          <w:rFonts w:hint="eastAsia" w:ascii="黑体" w:hAnsi="黑体" w:eastAsia="黑体" w:cs="黑体"/>
          <w:b/>
          <w:bCs/>
          <w:color w:val="auto"/>
          <w:kern w:val="0"/>
          <w:sz w:val="24"/>
          <w:szCs w:val="24"/>
          <w:highlight w:val="none"/>
          <w:lang w:val="en-US" w:eastAsia="zh-CN" w:bidi="ar"/>
        </w:rPr>
      </w:pPr>
      <w:r>
        <w:rPr>
          <w:rFonts w:hint="eastAsia" w:ascii="黑体" w:hAnsi="黑体" w:eastAsia="黑体" w:cs="黑体"/>
          <w:b/>
          <w:bCs/>
          <w:color w:val="auto"/>
          <w:kern w:val="0"/>
          <w:sz w:val="24"/>
          <w:szCs w:val="24"/>
          <w:highlight w:val="none"/>
          <w:lang w:val="en-US" w:eastAsia="zh-CN" w:bidi="ar"/>
        </w:rPr>
        <w:t>本项目为交钥匙工程，设备清单与技术要求中未明确列出实际施工中确需要用到的一切相关设备、辅材、人工费、税费等均包含在本项目中，应保证设备正常运作所需的最低要求，如有遗漏，投标人应予以补充，不另行付费。潜在的投标人一旦中标，即视为已行使上述权利，表明投标人完全了解现场情况，自愿承担由此引起的一切不利自己的风险后果，并自愿承担相关法律责任。</w:t>
      </w:r>
    </w:p>
    <w:p>
      <w:pPr>
        <w:keepNext w:val="0"/>
        <w:keepLines w:val="0"/>
        <w:widowControl/>
        <w:numPr>
          <w:ilvl w:val="0"/>
          <w:numId w:val="0"/>
        </w:numPr>
        <w:suppressLineNumbers w:val="0"/>
        <w:spacing w:line="360" w:lineRule="auto"/>
        <w:ind w:firstLine="481" w:firstLineChars="200"/>
        <w:jc w:val="left"/>
        <w:rPr>
          <w:rFonts w:hint="eastAsia" w:ascii="黑体" w:hAnsi="黑体" w:eastAsia="黑体" w:cs="黑体"/>
          <w:b/>
          <w:bCs/>
          <w:color w:val="auto"/>
          <w:kern w:val="0"/>
          <w:sz w:val="24"/>
          <w:szCs w:val="24"/>
          <w:highlight w:val="none"/>
          <w:lang w:val="en-US" w:eastAsia="zh-CN" w:bidi="ar"/>
        </w:rPr>
      </w:pPr>
      <w:r>
        <w:rPr>
          <w:rFonts w:hint="eastAsia" w:ascii="黑体" w:hAnsi="黑体" w:eastAsia="黑体" w:cs="黑体"/>
          <w:b/>
          <w:bCs/>
          <w:color w:val="auto"/>
          <w:kern w:val="0"/>
          <w:sz w:val="24"/>
          <w:szCs w:val="24"/>
          <w:highlight w:val="none"/>
          <w:lang w:val="en-US" w:eastAsia="zh-CN" w:bidi="ar"/>
        </w:rPr>
        <w:t>采购人不另行组织现场勘察。各潜在投标人可在招标公示后至公示期结束前与采购人联系后亲临现场作详细勘察 。依据现场实际情况及采购人需求，在完全满足业主个性化要求的情况下完成硬件环境调研。</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4、技术培训及技术资料要求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4.1、为了保障项目能有序受控地进行，保证系统能稳定、高效地运行，根据本采购项目的特点及技术要求，中标人应提供多种方式的用户培训，应充分满足各个层次不同培训对象的需求，协助用户单位建立一支技术过硬、业务精通的应用及维护队伍。通过培训使各级相关人员熟悉相关设备的使用。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4.2 对采购人的技术人员进行培训，中标人应安排专业技术人员免费对采购人技术人员进行使用操作、设备维修、保养等技术培训，直至采购人的技术人员能熟练独立工作为止，其间所发生的一切培训费包括中标人一切费用（包含住宿、交通、生活补助等）由中标人承担。培训所有的费用均计入总报价。 </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5、日常运维要求</w:t>
      </w:r>
      <w:r>
        <w:rPr>
          <w:rFonts w:hint="eastAsia" w:ascii="黑体" w:hAnsi="黑体" w:eastAsia="黑体" w:cs="黑体"/>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中标人应对本项目建设内容进行定期巡查（每季度一次）、测试和维护保养，发现问题立刻处理。对可能存在的故障点进行相应整改，及时排除隐患因素；对设备的故障及时通知相关单位或人员处理。中标人出具每季度巡查报告，并由各使用单位签字确认。 </w:t>
      </w:r>
    </w:p>
    <w:p>
      <w:pPr>
        <w:keepNext w:val="0"/>
        <w:keepLines w:val="0"/>
        <w:widowControl/>
        <w:suppressLineNumbers w:val="0"/>
        <w:spacing w:line="360" w:lineRule="auto"/>
        <w:ind w:firstLine="481" w:firstLineChars="200"/>
        <w:jc w:val="left"/>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val="en-US" w:eastAsia="zh-CN" w:bidi="ar"/>
        </w:rPr>
        <w:t>6、重大活动保障要求</w:t>
      </w:r>
      <w:r>
        <w:rPr>
          <w:rFonts w:hint="eastAsia" w:ascii="黑体" w:hAnsi="黑体" w:eastAsia="黑体" w:cs="黑体"/>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用户单位遇到重大活动、重点时段或应急处突等情况需要现场保障时，由中标人派遣专业维护工程师配合用户单位进行现场驻点保障工作。在活动发生前提早做好设备巡检、关键点位测试、系统优化、保障预案建设等工作。 </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7、售后服务要求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7.1 中标人应按以下时限要求对本项目所采购和安装的软硬件设施设备提供免费运维服务：硬件设施设备，终验合格之日起三年（超过三年的设备设施以实际维保为准，少于三年的统一按照三年计算）。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7.2 质保期内，中标方需负责设备和系统的运行、维护和组织管理，具体包括：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7.2.1 负责设备和系统的正常运行与维护工作；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7.2.2 负责设备系统软件的更新与维护；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7.3 项目承建单位提供 7*24 小时技术支持服务，服务响应时间不得超过 1 小时，提供多种运维服务模式，如实时技术支持、热线电话服务、现场支持、备品备件服务、定期巡检服务等。 </w:t>
      </w:r>
    </w:p>
    <w:p>
      <w:pPr>
        <w:keepNext w:val="0"/>
        <w:keepLines w:val="0"/>
        <w:widowControl/>
        <w:suppressLineNumbers w:val="0"/>
        <w:spacing w:line="360" w:lineRule="auto"/>
        <w:ind w:firstLine="481" w:firstLineChars="200"/>
        <w:jc w:val="left"/>
        <w:rPr>
          <w:rFonts w:hint="eastAsia" w:ascii="黑体" w:hAnsi="黑体" w:eastAsia="黑体" w:cs="黑体"/>
          <w:b/>
          <w:bCs/>
          <w:color w:val="auto"/>
          <w:sz w:val="24"/>
          <w:szCs w:val="24"/>
          <w:highlight w:val="none"/>
        </w:rPr>
      </w:pPr>
      <w:r>
        <w:rPr>
          <w:rFonts w:hint="eastAsia" w:ascii="黑体" w:hAnsi="黑体" w:eastAsia="黑体" w:cs="黑体"/>
          <w:b/>
          <w:bCs/>
          <w:color w:val="auto"/>
          <w:kern w:val="0"/>
          <w:sz w:val="24"/>
          <w:szCs w:val="24"/>
          <w:highlight w:val="none"/>
          <w:lang w:val="en-US" w:eastAsia="zh-CN" w:bidi="ar"/>
        </w:rPr>
        <w:t xml:space="preserve">8、违约责任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8.1 若发现投标供应商提供虚假材料或伪造材料谋取中标的，按提供虚假材料谋取中标、成交情形处理，由政府采购监督管理部门按《政府采购法》第七十七条规定处罚，该投标供应商的投标将视为无效投标。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8.2 因成交供应商原因造成采购供货合同无法按时签订或在签定采购供货合同之后，中标方单方面要求解除合同的，视为中标方违约，采购人有权没收其投标保证金，如投标保证金不能弥补违约对采购人造成的损失的，成交供应商还需另行支付相应的赔偿。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8.3 因成交供应商原因发生重大质量或安全事故，除依约承担赔偿责任外，还将按有关质量管理办法规定执行。同时，采购人有权保留更换中标方的权利，并报相关行政主管部门处罚。 </w:t>
      </w:r>
    </w:p>
    <w:p>
      <w:pPr>
        <w:keepNext w:val="0"/>
        <w:keepLines w:val="0"/>
        <w:widowControl/>
        <w:suppressLineNumbers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
        </w:rPr>
        <w:t xml:space="preserve">8.4 在明确违约责任后，成交供应商应在接到书面通知书起七天内支付违约金、赔偿金等。 </w:t>
      </w:r>
    </w:p>
    <w:p>
      <w:pPr>
        <w:pStyle w:val="8"/>
        <w:spacing w:line="360" w:lineRule="auto"/>
        <w:ind w:firstLine="480" w:firstLineChars="200"/>
        <w:jc w:val="both"/>
        <w:outlineLvl w:val="2"/>
        <w:rPr>
          <w:rFonts w:hint="eastAsia" w:ascii="黑体" w:hAnsi="黑体" w:eastAsia="黑体" w:cs="黑体"/>
          <w:b/>
          <w:color w:val="auto"/>
          <w:sz w:val="24"/>
          <w:szCs w:val="24"/>
          <w:highlight w:val="none"/>
        </w:rPr>
      </w:pPr>
      <w:r>
        <w:rPr>
          <w:rFonts w:hint="eastAsia" w:ascii="黑体" w:hAnsi="黑体" w:eastAsia="黑体" w:cs="黑体"/>
          <w:color w:val="auto"/>
          <w:kern w:val="0"/>
          <w:sz w:val="24"/>
          <w:szCs w:val="24"/>
          <w:highlight w:val="none"/>
          <w:lang w:val="en-US" w:eastAsia="zh-CN" w:bidi="ar"/>
        </w:rPr>
        <w:t>8.5 本项目不允许中标人以任何名义和理由进行转包，如有发现，采购人有权单方终止合同，视为中标人违约，中标人违约对采购人造成的损失的，需另行支付相应的赔偿。</w:t>
      </w:r>
    </w:p>
    <w:p>
      <w:pPr>
        <w:pStyle w:val="8"/>
        <w:spacing w:line="360" w:lineRule="auto"/>
        <w:jc w:val="both"/>
        <w:outlineLvl w:val="2"/>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四、其他事项</w:t>
      </w:r>
    </w:p>
    <w:p>
      <w:pPr>
        <w:pStyle w:val="8"/>
        <w:spacing w:line="360" w:lineRule="auto"/>
        <w:ind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8"/>
        <w:spacing w:line="360" w:lineRule="auto"/>
        <w:ind w:firstLine="480"/>
        <w:jc w:val="both"/>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rPr>
        <w:t>2、其他：</w:t>
      </w:r>
      <w:r>
        <w:rPr>
          <w:rFonts w:hint="eastAsia" w:ascii="黑体" w:hAnsi="黑体" w:eastAsia="黑体" w:cs="黑体"/>
          <w:b/>
          <w:bCs/>
          <w:color w:val="auto"/>
          <w:sz w:val="24"/>
          <w:szCs w:val="24"/>
          <w:highlight w:val="none"/>
          <w:lang w:val="en-US" w:eastAsia="zh-CN"/>
        </w:rPr>
        <w:t>无</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1"/>
        <w:rPr>
          <w:rFonts w:hint="eastAsia" w:ascii="黑体" w:hAnsi="黑体" w:eastAsia="黑体" w:cs="黑体"/>
          <w:color w:val="auto"/>
          <w:highlight w:val="none"/>
        </w:rPr>
      </w:pPr>
      <w:r>
        <w:rPr>
          <w:rFonts w:hint="eastAsia" w:ascii="黑体" w:hAnsi="黑体" w:eastAsia="黑体" w:cs="黑体"/>
          <w:b/>
          <w:color w:val="auto"/>
          <w:sz w:val="36"/>
          <w:highlight w:val="none"/>
        </w:rPr>
        <w:t>第六章 政府采购合同</w:t>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参考文本</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合同编号：</w:t>
      </w:r>
    </w:p>
    <w:p>
      <w:pPr>
        <w:pStyle w:val="8"/>
        <w:jc w:val="center"/>
        <w:outlineLvl w:val="1"/>
        <w:rPr>
          <w:rFonts w:hint="eastAsia" w:ascii="黑体" w:hAnsi="黑体" w:eastAsia="黑体" w:cs="黑体"/>
          <w:color w:val="auto"/>
          <w:highlight w:val="none"/>
        </w:rPr>
      </w:pPr>
      <w:r>
        <w:rPr>
          <w:rFonts w:hint="eastAsia" w:ascii="黑体" w:hAnsi="黑体" w:eastAsia="黑体" w:cs="黑体"/>
          <w:b/>
          <w:color w:val="auto"/>
          <w:sz w:val="36"/>
          <w:highlight w:val="none"/>
        </w:rPr>
        <w:t xml:space="preserve"> 福建省政府采购合同（货物类）</w:t>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编制说明</w:t>
      </w:r>
      <w:r>
        <w:rPr>
          <w:rFonts w:hint="eastAsia" w:ascii="黑体" w:hAnsi="黑体" w:eastAsia="黑体" w:cs="黑体"/>
          <w:color w:val="auto"/>
          <w:highlight w:val="none"/>
        </w:rPr>
        <w:br w:type="textWrapping"/>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1.签订合同应遵守《中华人民共和国政府采购法》及其实施条例、《中华人民共和国民法典》等法律法规及其他有关规定。</w:t>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3.政府有关主管部门对若干合同有规范文本的，可使用相应合同文本。</w:t>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4.本合同范本仅供参考，采购人应当根据采购项目的实际需求对合同条款进行修改、补充。</w:t>
      </w:r>
    </w:p>
    <w:p>
      <w:pPr>
        <w:pStyle w:val="8"/>
        <w:ind w:left="0"/>
        <w:jc w:val="left"/>
        <w:rPr>
          <w:rFonts w:hint="eastAsia" w:ascii="黑体" w:hAnsi="黑体" w:eastAsia="黑体" w:cs="黑体"/>
          <w:color w:val="auto"/>
          <w:highlight w:val="none"/>
        </w:rPr>
      </w:pPr>
      <w:r>
        <w:rPr>
          <w:rFonts w:hint="eastAsia" w:ascii="黑体" w:hAnsi="黑体" w:eastAsia="黑体" w:cs="黑体"/>
          <w:color w:val="auto"/>
          <w:highlight w:val="none"/>
        </w:rPr>
        <w:t>甲方： ___________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住所地： ___________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联系人： ___________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联系电话：___________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传真：___________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电子邮箱：___________</w:t>
      </w:r>
      <w:r>
        <w:rPr>
          <w:rFonts w:hint="eastAsia" w:ascii="黑体" w:hAnsi="黑体" w:eastAsia="黑体" w:cs="黑体"/>
          <w:color w:val="auto"/>
          <w:highlight w:val="none"/>
        </w:rPr>
        <w:br w:type="textWrapping"/>
      </w:r>
    </w:p>
    <w:p>
      <w:pPr>
        <w:pStyle w:val="8"/>
        <w:ind w:left="0"/>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乙方： ___________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住所地： ___________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联系人：___________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联系电话：___________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传真：___________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电子邮箱：___________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根据项目编号为________ 的 ___________项目（以下简称：“本项目”）的采购结果，遵循平等、自愿、公平和诚实信用的原则，双方签署本合同，具体内容如下：</w:t>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一、合同组成部分</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1.1本合同条款及附件；</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1.2采购文件及其附件、补充文件；</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1.3乙方的响应文件及其附件、补充文件；</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1.4其他文件或材料：</w:t>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二、合同标的</w:t>
      </w:r>
      <w:r>
        <w:rPr>
          <w:rFonts w:hint="eastAsia" w:ascii="黑体" w:hAnsi="黑体" w:eastAsia="黑体" w:cs="黑体"/>
          <w:color w:val="auto"/>
          <w:highlight w:val="none"/>
        </w:rPr>
        <w:br w:type="textWrapping"/>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三、合同金额</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3.1合同总价：人民币（大写）_________ 元（￥_________元）；</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3.2合同总价组成：___________；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3.3其他需说明事项：___________；</w:t>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四、合同标的交付</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4.1交付时间：___________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4.2交付地点：___________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4.3交付条件：___________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4.4供货要求：</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(4)乙方完全遵守《中华人民共和国劳动合同法》有关规定和《中华人民共和国妇女权益保障法》中关于“劳动和社会保障权益”的有关要求。</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（5）其他供货要求：</w:t>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五、质量标准及要求</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5.1质量标准及要求</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（2）其他质量要求</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5.2节能环保产品要求</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5.3质量保证范围、质量保证期及售后服务</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（1）质量保证范围：___________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（2）本合同乙方所供应的货物质量保证期自验收合格之日起{_______月。</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（3）售后服务应按法律法规和采购文件约定执行，具体如下：</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5.4商品安全责任</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商品安全责任应按照法律法规和采购文件的规定执行，具体如下：</w:t>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六、安装调试、验收及退、换货</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6.1安装调试、验收应按照采购文件、乙方响应文件的规定或约定进行，具体如下：</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6.2本项目是否邀请其他投标人参与验收：</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不邀请。  邀请，具体如下：</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6.3本项目是否邀请专家参与验收：</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不邀请。  邀请，具体如下：</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6.4本项目是否邀请国家认可的质量检测机构参与验收：</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不邀请。  邀请，具体如下：</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6.5履约验收：___________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6.6退、换货：___________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6.7其他：</w:t>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七、资金支付方式、条件和时间</w:t>
      </w:r>
      <w:r>
        <w:rPr>
          <w:rFonts w:hint="eastAsia" w:ascii="黑体" w:hAnsi="黑体" w:eastAsia="黑体" w:cs="黑体"/>
          <w:color w:val="auto"/>
          <w:highlight w:val="none"/>
        </w:rPr>
        <w:br w:type="textWrapping"/>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八、履约保证金</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□有，□无。具体如下违约：（按照采购文件规定填写）。</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8.1乙方向甲方缴纳人民币 元（大写： ）作为本合同的履约保证金。</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8.2履约保证金缴纳形式：支票/汇票/电汇/保函等非现金形式。</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8.3履约保证金退还： （根据实际情况填写） 。</w:t>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九、合同期限</w:t>
      </w:r>
      <w:r>
        <w:rPr>
          <w:rFonts w:hint="eastAsia" w:ascii="黑体" w:hAnsi="黑体" w:eastAsia="黑体" w:cs="黑体"/>
          <w:color w:val="auto"/>
          <w:highlight w:val="none"/>
        </w:rPr>
        <w:br w:type="textWrapping"/>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十、违约责任</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10.1甲方违约责任</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（1）甲方无正当理由拒收乙方交付的合格产品的，甲方向乙方偿付拒收货款总值_____的违约金</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（2）甲方无故逾期验收和办理合同款项支付手续的,甲方应按逾期付款总额每日_______向乙方支付违约金。</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（3）其他违约情形</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10.2乙方违约责任</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（1）乙方逾期履行服务的，乙方应按逾期交付总额每日_______向甲方支付违约金，由甲方从待付货款中扣除。乙方无正当理由逾期超过约定日期_______仍不能交付的，视为“乙方不按合同约定履约”；</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（2）乙方所交付的产品不符合合同规定及《采购文件》规定标准的，甲方有权拒收，乙方愿意更换产品但逾期交货的，按乙方逾期交货处理。乙方拒绝更换产品的，视为“乙方不按合同约定履约”；</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（3）乙方不按合同约定履约的，甲方可以解除采购合同，并对乙方已缴纳的履约保证金作“不予退还”处理。同时，乙方还须按向甲方支付违约金：</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（4）其他违约情形</w:t>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十一、不可抗力事件处理</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十二、保密条款</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12.1对于在采购和合同履行过程中所获悉的属于保密的内容，甲、乙双方均负有保密义务。</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12.2其他</w:t>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十三、解决争议的方法</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13.1甲、乙双方协商解决。</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13.2若协商解决不成，双方明确按以下第__方式解决：</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1、提交仲裁委员会仲裁，具体如下：</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2、向人民法院提起诉讼，具体如下：</w:t>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十四、合同其他条款</w:t>
      </w:r>
      <w:r>
        <w:rPr>
          <w:rFonts w:hint="eastAsia" w:ascii="黑体" w:hAnsi="黑体" w:eastAsia="黑体" w:cs="黑体"/>
          <w:color w:val="auto"/>
          <w:highlight w:val="none"/>
        </w:rPr>
        <w:br w:type="textWrapping"/>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十五、其他约定</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15.1合同文件与本合同具有同等法律效力。</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15.3本合同未尽事宜，遵照《中华人民共和国民法典》有关条文执行。</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15.4本合同正本一式_______份，具有同等法律效力，甲方、乙方各执_______份；副本_______份，_______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15.5本合同已用于政府采购合同融资，为本项目提供合同融资的金融机构为：_______，甲乙双方应当按照融资合同的约定进行资金使用及款项支付。</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中标（成交）供应商应于采购合同签订之日起_______内，向发放政采贷的金融机构提交政府采购中标（成交）通知书和政府采购合同，贷款金额以政府采购合同金额为限。</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15.6其他</w:t>
      </w:r>
    </w:p>
    <w:p>
      <w:pPr>
        <w:pStyle w:val="8"/>
        <w:jc w:val="left"/>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十六、合同附件</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甲方（采购人）：</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法定（授权）代表人：</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纳税人识别号：</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开户银行：</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账号：</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乙方（中标或成交人）：</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法定（授权）代表人：</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纳税人识别号：</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开户银行：</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账号：</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签订地点：__________</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签订日期：___年___月___日</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1"/>
        <w:rPr>
          <w:rFonts w:hint="eastAsia" w:ascii="黑体" w:hAnsi="黑体" w:eastAsia="黑体" w:cs="黑体"/>
          <w:color w:val="auto"/>
          <w:highlight w:val="none"/>
        </w:rPr>
      </w:pPr>
      <w:r>
        <w:rPr>
          <w:rFonts w:hint="eastAsia" w:ascii="黑体" w:hAnsi="黑体" w:eastAsia="黑体" w:cs="黑体"/>
          <w:b/>
          <w:color w:val="auto"/>
          <w:sz w:val="36"/>
          <w:highlight w:val="none"/>
        </w:rPr>
        <w:t>第七章 电子投标文件格式</w:t>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编制说明</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1、除招标文件另有规定外，本章中：</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1.1涉及投标人的“全称”：</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（1）不接受联合体投标的，指投标人的全称。</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（2）接受联合体投标且投标人为联合体的，指牵头方的全称并加注（联合体牵头方），即应表述为：“牵头方的全称（联合体牵头方）”。</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1.2涉及投标人“加盖单位公章”：</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（1）不接受联合体投标的，指加盖投标人的单位公章。</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（2）接受联合体投标且投标人为联合体的，指加盖联合体牵头方的单位公章。</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1.3涉及“投标人代表签字”：</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（1）不接受联合体投标的，指由投标人的单位负责人或其授权的委托代理人签字，由委托代理人签字的，应提供“单位授权书”。</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（2）接受联合体投标且投标人为联合体的，指由联合体牵头方的单位负责人或其授权的委托代理人签字，由委托代理人签字的，应提供“单位授权书”。</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1.4“其他组织”指合伙企业、非企业专业服务机构、个体工商户、农村承包经营户等。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1.5“自然人”指具有完全民事行为能力、能够承担民事责任和义务的中国公民。</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2、除招标文件另有规定外，本章中“投标人的资格及资信证明文件”：</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2.1投标人应按照招标文件第四章第1.3条第（2）款规定及本章规定进行编制，如有必要，可增加附页，附页作为资格及资信文件的组成部分。</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2.2接受联合体投标且投标人为联合体的，联合体中的各方均应按照本章第2.1条规定提交相应的全部资料。</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3、投标人对电子投标文件的索引应编制页码。</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4、本章提供格式仅供参考，投标人应根据自身实际情况制作电子投标文件。</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封面格式(资格及资信证明部分)</w:t>
      </w:r>
    </w:p>
    <w:p>
      <w:pPr>
        <w:pStyle w:val="8"/>
        <w:jc w:val="center"/>
        <w:outlineLvl w:val="0"/>
        <w:rPr>
          <w:rFonts w:hint="eastAsia" w:ascii="黑体" w:hAnsi="黑体" w:eastAsia="黑体" w:cs="黑体"/>
          <w:color w:val="auto"/>
          <w:highlight w:val="none"/>
        </w:rPr>
      </w:pPr>
      <w:r>
        <w:rPr>
          <w:rFonts w:hint="eastAsia" w:ascii="黑体" w:hAnsi="黑体" w:eastAsia="黑体" w:cs="黑体"/>
          <w:b/>
          <w:color w:val="auto"/>
          <w:sz w:val="48"/>
          <w:highlight w:val="none"/>
        </w:rPr>
        <w:t>福建省政府采购投标文件</w:t>
      </w:r>
    </w:p>
    <w:p>
      <w:pPr>
        <w:pStyle w:val="8"/>
        <w:jc w:val="center"/>
        <w:outlineLvl w:val="0"/>
        <w:rPr>
          <w:rFonts w:hint="eastAsia" w:ascii="黑体" w:hAnsi="黑体" w:eastAsia="黑体" w:cs="黑体"/>
          <w:color w:val="auto"/>
          <w:highlight w:val="none"/>
        </w:rPr>
      </w:pPr>
      <w:r>
        <w:rPr>
          <w:rFonts w:hint="eastAsia" w:ascii="黑体" w:hAnsi="黑体" w:eastAsia="黑体" w:cs="黑体"/>
          <w:b/>
          <w:color w:val="auto"/>
          <w:sz w:val="48"/>
          <w:highlight w:val="none"/>
        </w:rPr>
        <w:t>（资格及资信证明部分）</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p>
    <w:p>
      <w:pPr>
        <w:pStyle w:val="8"/>
        <w:jc w:val="center"/>
        <w:outlineLvl w:val="1"/>
        <w:rPr>
          <w:rFonts w:hint="eastAsia" w:ascii="黑体" w:hAnsi="黑体" w:eastAsia="黑体" w:cs="黑体"/>
          <w:color w:val="auto"/>
          <w:highlight w:val="none"/>
        </w:rPr>
      </w:pPr>
      <w:r>
        <w:rPr>
          <w:rFonts w:hint="eastAsia" w:ascii="黑体" w:hAnsi="黑体" w:eastAsia="黑体" w:cs="黑体"/>
          <w:b/>
          <w:color w:val="auto"/>
          <w:sz w:val="36"/>
          <w:highlight w:val="none"/>
        </w:rPr>
        <w:t>（填写正本或副本）</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（项目名称：（由投标人填写）</w:t>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（备案编号：（由投标人填写）</w:t>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（项目编号：（由投标人填写）</w:t>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（所投采购包：（由投标人填写）</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投标人：（填写“全称”）</w:t>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（由投标人填写）年（由投标人填写）月</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索引</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一、投标函</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二、投标人的资格及资信证明文件</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三、投标保证金</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资格及资信证明部分中不得出现报价部分的全部或部分的投标报价信息（或组成资料），否则资格审查不合格。（联合体协议及分包意向协议中的比例规定，不适用本条款）</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一、投标函</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致：</w:t>
      </w:r>
      <w:r>
        <w:rPr>
          <w:rFonts w:hint="eastAsia" w:ascii="黑体" w:hAnsi="黑体" w:eastAsia="黑体" w:cs="黑体"/>
          <w:color w:val="auto"/>
          <w:highlight w:val="none"/>
          <w:u w:val="single"/>
        </w:rPr>
        <w:t>（采购人或采购代理机构）</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兹收到贵单位关于</w:t>
      </w:r>
      <w:r>
        <w:rPr>
          <w:rFonts w:hint="eastAsia" w:ascii="黑体" w:hAnsi="黑体" w:eastAsia="黑体" w:cs="黑体"/>
          <w:color w:val="auto"/>
          <w:highlight w:val="none"/>
          <w:u w:val="single"/>
        </w:rPr>
        <w:t xml:space="preserve">（填写“项目名称”） </w:t>
      </w:r>
      <w:r>
        <w:rPr>
          <w:rFonts w:hint="eastAsia" w:ascii="黑体" w:hAnsi="黑体" w:eastAsia="黑体" w:cs="黑体"/>
          <w:color w:val="auto"/>
          <w:highlight w:val="none"/>
        </w:rPr>
        <w:t>项目</w:t>
      </w:r>
      <w:r>
        <w:rPr>
          <w:rFonts w:hint="eastAsia" w:ascii="黑体" w:hAnsi="黑体" w:eastAsia="黑体" w:cs="黑体"/>
          <w:color w:val="auto"/>
          <w:highlight w:val="none"/>
          <w:u w:val="single"/>
        </w:rPr>
        <w:t xml:space="preserve">（项目编号：　　　　　） </w:t>
      </w:r>
      <w:r>
        <w:rPr>
          <w:rFonts w:hint="eastAsia" w:ascii="黑体" w:hAnsi="黑体" w:eastAsia="黑体" w:cs="黑体"/>
          <w:color w:val="auto"/>
          <w:highlight w:val="none"/>
        </w:rPr>
        <w:t>的投标邀请，本投标人代表</w:t>
      </w:r>
      <w:r>
        <w:rPr>
          <w:rFonts w:hint="eastAsia" w:ascii="黑体" w:hAnsi="黑体" w:eastAsia="黑体" w:cs="黑体"/>
          <w:color w:val="auto"/>
          <w:highlight w:val="none"/>
          <w:u w:val="single"/>
        </w:rPr>
        <w:t xml:space="preserve">（填写“全名”） </w:t>
      </w:r>
      <w:r>
        <w:rPr>
          <w:rFonts w:hint="eastAsia" w:ascii="黑体" w:hAnsi="黑体" w:eastAsia="黑体" w:cs="黑体"/>
          <w:color w:val="auto"/>
          <w:highlight w:val="none"/>
        </w:rPr>
        <w:t>已获得我方正式授权并代表投标人（填写“全称”）参加投标，并提交电子投标文件。我方提交的全部电子投标文件由下述部分组成：</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（1）资格及资信证明部分</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①投标函</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②投标人的资格及资信证明文件</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③投标保证金</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（2）报价部分</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①开标一览表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②投标分项报价表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③招标文件规定的价格扣除证明材料（若有）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④招标文件规定的加分证明材料（若有）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（3）技术商务部分</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①标的说明一览表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②技术和服务要求响应表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③商务条件响应表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④投标人提交的其他资料（若有）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根据本函，本投标人代表宣布我方保证遵守招标文件的全部规定，同时：</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1、确认：</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1.1所投采购包的投标报价详见“开标一览表”及“投标分项报价表”。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1.2我方已详细审查全部招标文件[包括但不限于：有关附件（若有）、澄清或修改（若有）等]，并自行承担因对全部招标文件理解不正确或误解而产生的相应后果和责任。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2、承诺及声明：</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2.1我方具备招标文件第一章载明的“投标人的资格要求”且符合招标文件第三章载明的“二、投标人”之规定，否则投标无效。</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2.2我方提交的电子投标文件各组成部分的全部内容及资料是不可割离且真实、有效、准确、完整和不具有任何误导性的，否则产生不利后果由我方承担责任。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2.3我方提供的标的价格不高于同期市场价格，否则产生不利后果由我方承担责任。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2.4投标保证金：若出现招标文件第三章规定的不予退还情形，同意贵单位不予退还。</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2.5投标有效期：按照招标文件第三章规定执行，并在招标文件第二章载明的期限内保持有效。</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2.6若中标，将按照招标文件、我方电子投标文件及政府采购合同履行责任和义务。</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2.7若贵单位要求，我方同意提供与本项目投标有关的一切资料、数据或文件，并完全理解贵单位不一定要接受最低的投标报价或收到的任何投标。</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2.8我方承诺遵守《中华人民共和国劳动合同法》有关规定和《中华人民共和国妇女权益保障法 》中关于“劳动和社会保障权益”的有关要求。</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2.9我方承诺电子投标文件所提供的全部资料真实可靠，并接受评标委员会、采购人、采购代理机构、监管部门进一步审查其中任何资料真实性的要求。</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2.10除招标文件另有规定外，对于贵单位按照下述联络方式发出的任何信息或通知，均视为我方已收悉前述信息或通知的全部内容：</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通信地址：                                        </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邮编：                                           </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联系方法：（包括但不限于：联系人、联系电话、手机、传真、电子邮箱等）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投标人：（全称并加盖单位公章）</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日期：    年   月   日</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二、投标人的资格及资信证明文件</w:t>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二-1单位授权书（若有）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致：</w:t>
      </w:r>
      <w:r>
        <w:rPr>
          <w:rFonts w:hint="eastAsia" w:ascii="黑体" w:hAnsi="黑体" w:eastAsia="黑体" w:cs="黑体"/>
          <w:color w:val="auto"/>
          <w:highlight w:val="none"/>
          <w:u w:val="single"/>
        </w:rPr>
        <w:t>（采购人或采购代理机构）</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我方的单位负责人</w:t>
      </w:r>
      <w:r>
        <w:rPr>
          <w:rFonts w:hint="eastAsia" w:ascii="黑体" w:hAnsi="黑体" w:eastAsia="黑体" w:cs="黑体"/>
          <w:color w:val="auto"/>
          <w:highlight w:val="none"/>
          <w:u w:val="single"/>
        </w:rPr>
        <w:t>（填写“单位负责人全名”）</w:t>
      </w:r>
      <w:r>
        <w:rPr>
          <w:rFonts w:hint="eastAsia" w:ascii="黑体" w:hAnsi="黑体" w:eastAsia="黑体" w:cs="黑体"/>
          <w:color w:val="auto"/>
          <w:highlight w:val="none"/>
        </w:rPr>
        <w:t>授权</w:t>
      </w:r>
      <w:r>
        <w:rPr>
          <w:rFonts w:hint="eastAsia" w:ascii="黑体" w:hAnsi="黑体" w:eastAsia="黑体" w:cs="黑体"/>
          <w:color w:val="auto"/>
          <w:highlight w:val="none"/>
          <w:u w:val="single"/>
        </w:rPr>
        <w:t>（填写“投标人代表全名”）</w:t>
      </w:r>
      <w:r>
        <w:rPr>
          <w:rFonts w:hint="eastAsia" w:ascii="黑体" w:hAnsi="黑体" w:eastAsia="黑体" w:cs="黑体"/>
          <w:color w:val="auto"/>
          <w:highlight w:val="none"/>
        </w:rPr>
        <w:t>为投标人代表，代表我方参加</w:t>
      </w:r>
      <w:r>
        <w:rPr>
          <w:rFonts w:hint="eastAsia" w:ascii="黑体" w:hAnsi="黑体" w:eastAsia="黑体" w:cs="黑体"/>
          <w:color w:val="auto"/>
          <w:highlight w:val="none"/>
          <w:u w:val="single"/>
        </w:rPr>
        <w:t>（填写“项目名称”）</w:t>
      </w:r>
      <w:r>
        <w:rPr>
          <w:rFonts w:hint="eastAsia" w:ascii="黑体" w:hAnsi="黑体" w:eastAsia="黑体" w:cs="黑体"/>
          <w:color w:val="auto"/>
          <w:highlight w:val="none"/>
        </w:rPr>
        <w:t>项目（项目编号：</w:t>
      </w:r>
      <w:r>
        <w:rPr>
          <w:rFonts w:hint="eastAsia" w:ascii="黑体" w:hAnsi="黑体" w:eastAsia="黑体" w:cs="黑体"/>
          <w:color w:val="auto"/>
          <w:highlight w:val="none"/>
          <w:u w:val="single"/>
        </w:rPr>
        <w:t>　　　　　</w:t>
      </w:r>
      <w:r>
        <w:rPr>
          <w:rFonts w:hint="eastAsia" w:ascii="黑体" w:hAnsi="黑体" w:eastAsia="黑体" w:cs="黑体"/>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投标人代表无转委权。特此授权。</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（以下无正文）</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单位负责人：</w:t>
      </w:r>
      <w:r>
        <w:rPr>
          <w:rFonts w:hint="eastAsia" w:ascii="黑体" w:hAnsi="黑体" w:eastAsia="黑体" w:cs="黑体"/>
          <w:color w:val="auto"/>
          <w:highlight w:val="none"/>
          <w:u w:val="single"/>
        </w:rPr>
        <w:t>　　　　　</w:t>
      </w:r>
      <w:r>
        <w:rPr>
          <w:rFonts w:hint="eastAsia" w:ascii="黑体" w:hAnsi="黑体" w:eastAsia="黑体" w:cs="黑体"/>
          <w:color w:val="auto"/>
          <w:highlight w:val="none"/>
        </w:rPr>
        <w:t>身份证号：</w:t>
      </w:r>
      <w:r>
        <w:rPr>
          <w:rFonts w:hint="eastAsia" w:ascii="黑体" w:hAnsi="黑体" w:eastAsia="黑体" w:cs="黑体"/>
          <w:color w:val="auto"/>
          <w:highlight w:val="none"/>
          <w:u w:val="single"/>
        </w:rPr>
        <w:t>　　　　　</w:t>
      </w:r>
      <w:r>
        <w:rPr>
          <w:rFonts w:hint="eastAsia" w:ascii="黑体" w:hAnsi="黑体" w:eastAsia="黑体" w:cs="黑体"/>
          <w:color w:val="auto"/>
          <w:highlight w:val="none"/>
        </w:rPr>
        <w:t>手机：</w:t>
      </w:r>
      <w:r>
        <w:rPr>
          <w:rFonts w:hint="eastAsia" w:ascii="黑体" w:hAnsi="黑体" w:eastAsia="黑体" w:cs="黑体"/>
          <w:color w:val="auto"/>
          <w:highlight w:val="none"/>
          <w:u w:val="single"/>
        </w:rPr>
        <w:t>　　　　　</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投标人代表：</w:t>
      </w:r>
      <w:r>
        <w:rPr>
          <w:rFonts w:hint="eastAsia" w:ascii="黑体" w:hAnsi="黑体" w:eastAsia="黑体" w:cs="黑体"/>
          <w:color w:val="auto"/>
          <w:highlight w:val="none"/>
          <w:u w:val="single"/>
        </w:rPr>
        <w:t>　　　　　</w:t>
      </w:r>
      <w:r>
        <w:rPr>
          <w:rFonts w:hint="eastAsia" w:ascii="黑体" w:hAnsi="黑体" w:eastAsia="黑体" w:cs="黑体"/>
          <w:color w:val="auto"/>
          <w:highlight w:val="none"/>
        </w:rPr>
        <w:t>身份证号：</w:t>
      </w:r>
      <w:r>
        <w:rPr>
          <w:rFonts w:hint="eastAsia" w:ascii="黑体" w:hAnsi="黑体" w:eastAsia="黑体" w:cs="黑体"/>
          <w:color w:val="auto"/>
          <w:highlight w:val="none"/>
          <w:u w:val="single"/>
        </w:rPr>
        <w:t>　　　　　</w:t>
      </w:r>
      <w:r>
        <w:rPr>
          <w:rFonts w:hint="eastAsia" w:ascii="黑体" w:hAnsi="黑体" w:eastAsia="黑体" w:cs="黑体"/>
          <w:color w:val="auto"/>
          <w:highlight w:val="none"/>
        </w:rPr>
        <w:t>手机：</w:t>
      </w:r>
      <w:r>
        <w:rPr>
          <w:rFonts w:hint="eastAsia" w:ascii="黑体" w:hAnsi="黑体" w:eastAsia="黑体" w:cs="黑体"/>
          <w:color w:val="auto"/>
          <w:highlight w:val="none"/>
          <w:u w:val="single"/>
        </w:rPr>
        <w:t>　　　　　</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授权方</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签署日期： 年 月 日</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附：单位负责人、投标人代表的身份证正反面复印件</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要求：真实有效且内容完整、清晰、整洁。</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1、企业（银行、保险、石油石化、电力、电信等行业除外）、事业单位和社会团体法人的“单位负责人”指法定代表人，即与实际提交的“营业执照等证明文件”载明的一致。</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3、投标人（自然人除外）：若投标人代表为单位授权的委托代理人，应提供本授权书；若投标人代表为单位负责人，应在此项下提交其身份证正反面复印件，可不提供本授权书。</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4、投标人为自然人的，可不填写本授权书。</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二-2营业执照等证明文件</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致：</w:t>
      </w:r>
      <w:r>
        <w:rPr>
          <w:rFonts w:hint="eastAsia" w:ascii="黑体" w:hAnsi="黑体" w:eastAsia="黑体" w:cs="黑体"/>
          <w:color w:val="auto"/>
          <w:highlight w:val="none"/>
          <w:u w:val="single"/>
        </w:rPr>
        <w:t>（采购人或采购代理机构）</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 ）投标人为法人（包括企业、事业单位和社会团体）的</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现附上由</w:t>
      </w:r>
      <w:r>
        <w:rPr>
          <w:rFonts w:hint="eastAsia" w:ascii="黑体" w:hAnsi="黑体" w:eastAsia="黑体" w:cs="黑体"/>
          <w:color w:val="auto"/>
          <w:highlight w:val="none"/>
          <w:u w:val="single"/>
        </w:rPr>
        <w:t>（（填写“签发机关全称”）</w:t>
      </w:r>
      <w:r>
        <w:rPr>
          <w:rFonts w:hint="eastAsia" w:ascii="黑体" w:hAnsi="黑体" w:eastAsia="黑体" w:cs="黑体"/>
          <w:color w:val="auto"/>
          <w:highlight w:val="none"/>
        </w:rPr>
        <w:t>签发的我方统一社会信用代码（请填写法人的具体证照名称）复印件，该证明材料真实有效，否则我方负全部责任。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 ）投标人为非法人（包括其他组织、自然人）的</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□现附上由</w:t>
      </w:r>
      <w:r>
        <w:rPr>
          <w:rFonts w:hint="eastAsia" w:ascii="黑体" w:hAnsi="黑体" w:eastAsia="黑体" w:cs="黑体"/>
          <w:color w:val="auto"/>
          <w:highlight w:val="none"/>
          <w:u w:val="single"/>
        </w:rPr>
        <w:t>（（填写“签发机关全称”）</w:t>
      </w:r>
      <w:r>
        <w:rPr>
          <w:rFonts w:hint="eastAsia" w:ascii="黑体" w:hAnsi="黑体" w:eastAsia="黑体" w:cs="黑体"/>
          <w:color w:val="auto"/>
          <w:highlight w:val="none"/>
        </w:rPr>
        <w:t>签发的我方（请填写非自然人的非法人的具体证照名称）复印件，该证明材料真实有效，否则我方负全部责任。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□现附上由</w:t>
      </w:r>
      <w:r>
        <w:rPr>
          <w:rFonts w:hint="eastAsia" w:ascii="黑体" w:hAnsi="黑体" w:eastAsia="黑体" w:cs="黑体"/>
          <w:color w:val="auto"/>
          <w:highlight w:val="none"/>
          <w:u w:val="single"/>
        </w:rPr>
        <w:t>（（填写“签发机关全称”）</w:t>
      </w:r>
      <w:r>
        <w:rPr>
          <w:rFonts w:hint="eastAsia" w:ascii="黑体" w:hAnsi="黑体" w:eastAsia="黑体" w:cs="黑体"/>
          <w:color w:val="auto"/>
          <w:highlight w:val="none"/>
        </w:rPr>
        <w:t>签发的我方（请填写自然人的身份证件名称）复印件，该证明材料真实有效，否则我方负全部责任。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1、请投标人按照实际情况编制填写，在相应的（）中打“√”并选择相应的“□”（若有）后，再按照本格式的要求提供相应证明材料的复印件。</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二-3财务状况报告（财务报告、或资信证明）</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致：</w:t>
      </w:r>
      <w:r>
        <w:rPr>
          <w:rFonts w:hint="eastAsia" w:ascii="黑体" w:hAnsi="黑体" w:eastAsia="黑体" w:cs="黑体"/>
          <w:color w:val="auto"/>
          <w:highlight w:val="none"/>
          <w:u w:val="single"/>
        </w:rPr>
        <w:t>（采购人或采购代理机构）</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 ）投标人提供财务报告的</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□企业适用：现附上我方</w:t>
      </w:r>
      <w:r>
        <w:rPr>
          <w:rFonts w:hint="eastAsia" w:ascii="黑体" w:hAnsi="黑体" w:eastAsia="黑体" w:cs="黑体"/>
          <w:color w:val="auto"/>
          <w:highlight w:val="none"/>
          <w:u w:val="single"/>
        </w:rPr>
        <w:t>（填写“具体的年度、或半年度、季度”）</w:t>
      </w:r>
      <w:r>
        <w:rPr>
          <w:rFonts w:hint="eastAsia" w:ascii="黑体" w:hAnsi="黑体" w:eastAsia="黑体" w:cs="黑体"/>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□事业单位适用：现附上我方</w:t>
      </w:r>
      <w:r>
        <w:rPr>
          <w:rFonts w:hint="eastAsia" w:ascii="黑体" w:hAnsi="黑体" w:eastAsia="黑体" w:cs="黑体"/>
          <w:color w:val="auto"/>
          <w:highlight w:val="none"/>
          <w:u w:val="single"/>
        </w:rPr>
        <w:t>（填写“具体的年度、或半年度、或季度”）</w:t>
      </w:r>
      <w:r>
        <w:rPr>
          <w:rFonts w:hint="eastAsia" w:ascii="黑体" w:hAnsi="黑体" w:eastAsia="黑体" w:cs="黑体"/>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□社会团体、民办非企适用：现附上我方</w:t>
      </w:r>
      <w:r>
        <w:rPr>
          <w:rFonts w:hint="eastAsia" w:ascii="黑体" w:hAnsi="黑体" w:eastAsia="黑体" w:cs="黑体"/>
          <w:color w:val="auto"/>
          <w:highlight w:val="none"/>
          <w:u w:val="single"/>
        </w:rPr>
        <w:t>（填写“具体的年度、或半年度、或季度”）</w:t>
      </w:r>
      <w:r>
        <w:rPr>
          <w:rFonts w:hint="eastAsia" w:ascii="黑体" w:hAnsi="黑体" w:eastAsia="黑体" w:cs="黑体"/>
          <w:color w:val="auto"/>
          <w:highlight w:val="none"/>
        </w:rPr>
        <w:t>财务报告复印件，包括资产负债表、业务活动表、现金流量表、会计师事务所营业执照和注册会计师资格证书，上述证明材料真实有效，否则我方负全部责任。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 ）投标人提供资信证明的</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□非自然人适用（包括企业、事业单位、社会团体和其他组织）：现附上我方银行：</w:t>
      </w:r>
      <w:r>
        <w:rPr>
          <w:rFonts w:hint="eastAsia" w:ascii="黑体" w:hAnsi="黑体" w:eastAsia="黑体" w:cs="黑体"/>
          <w:color w:val="auto"/>
          <w:highlight w:val="none"/>
          <w:u w:val="single"/>
        </w:rPr>
        <w:t>（填写“开户银行全称”）</w:t>
      </w:r>
      <w:r>
        <w:rPr>
          <w:rFonts w:hint="eastAsia" w:ascii="黑体" w:hAnsi="黑体" w:eastAsia="黑体" w:cs="黑体"/>
          <w:color w:val="auto"/>
          <w:highlight w:val="none"/>
        </w:rPr>
        <w:t>出具的资信证明复印件，上述证明材料真实有效，否则我方负全部责任。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□自然人适用：现附上我方银行</w:t>
      </w:r>
      <w:r>
        <w:rPr>
          <w:rFonts w:hint="eastAsia" w:ascii="黑体" w:hAnsi="黑体" w:eastAsia="黑体" w:cs="黑体"/>
          <w:color w:val="auto"/>
          <w:highlight w:val="none"/>
          <w:u w:val="single"/>
        </w:rPr>
        <w:t>：（填写自然人的“个人账户的开户银行全称”）</w:t>
      </w:r>
      <w:r>
        <w:rPr>
          <w:rFonts w:hint="eastAsia" w:ascii="黑体" w:hAnsi="黑体" w:eastAsia="黑体" w:cs="黑体"/>
          <w:color w:val="auto"/>
          <w:highlight w:val="none"/>
        </w:rPr>
        <w:t>出具的资信证明复印件，上述证明材料真实有效，否则我方负全部责任。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1、请投标人按照实际情况编制填写，在相应的（）中打“√”并选择相应的“□”（若有）后，再按照本格式的要求提供相应证明材料的复印件。</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2、投标人提供的财务报告复印件（成立年限按照投标截止时间推算）应符合下列规定：</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2.1成立年限满1年及以上的投标人，提供经审计的招标文件规定的年度财务报告。</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2.2成立年限满半年但不足1年的投标人，提供该半年度中任一季度的季度财务报告或该半年度的半年度财务报告。</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二-4依法缴纳税收证明材料</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致：</w:t>
      </w:r>
      <w:r>
        <w:rPr>
          <w:rFonts w:hint="eastAsia" w:ascii="黑体" w:hAnsi="黑体" w:eastAsia="黑体" w:cs="黑体"/>
          <w:color w:val="auto"/>
          <w:highlight w:val="none"/>
          <w:u w:val="single"/>
        </w:rPr>
        <w:t>（采购人或采购代理机构）</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1、依法缴纳税收的投标人</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 ）法人（包括企业、事业单位和社会团体）的</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现附上自</w:t>
      </w:r>
      <w:r>
        <w:rPr>
          <w:rFonts w:hint="eastAsia" w:ascii="黑体" w:hAnsi="黑体" w:eastAsia="黑体" w:cs="黑体"/>
          <w:color w:val="auto"/>
          <w:highlight w:val="none"/>
          <w:u w:val="single"/>
        </w:rPr>
        <w:t>　　年　　月　　日</w:t>
      </w:r>
      <w:r>
        <w:rPr>
          <w:rFonts w:hint="eastAsia" w:ascii="黑体" w:hAnsi="黑体" w:eastAsia="黑体" w:cs="黑体"/>
          <w:color w:val="auto"/>
          <w:highlight w:val="none"/>
        </w:rPr>
        <w:t>至</w:t>
      </w:r>
      <w:r>
        <w:rPr>
          <w:rFonts w:hint="eastAsia" w:ascii="黑体" w:hAnsi="黑体" w:eastAsia="黑体" w:cs="黑体"/>
          <w:color w:val="auto"/>
          <w:highlight w:val="none"/>
          <w:u w:val="single"/>
        </w:rPr>
        <w:t>　　年　　月　　日</w:t>
      </w:r>
      <w:r>
        <w:rPr>
          <w:rFonts w:hint="eastAsia" w:ascii="黑体" w:hAnsi="黑体" w:eastAsia="黑体" w:cs="黑体"/>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 ）非法人（包括其他组织、自然人）的</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现附上自</w:t>
      </w:r>
      <w:r>
        <w:rPr>
          <w:rFonts w:hint="eastAsia" w:ascii="黑体" w:hAnsi="黑体" w:eastAsia="黑体" w:cs="黑体"/>
          <w:color w:val="auto"/>
          <w:highlight w:val="none"/>
          <w:u w:val="single"/>
        </w:rPr>
        <w:t>　　年　　月　　日</w:t>
      </w:r>
      <w:r>
        <w:rPr>
          <w:rFonts w:hint="eastAsia" w:ascii="黑体" w:hAnsi="黑体" w:eastAsia="黑体" w:cs="黑体"/>
          <w:color w:val="auto"/>
          <w:highlight w:val="none"/>
        </w:rPr>
        <w:t>至</w:t>
      </w:r>
      <w:r>
        <w:rPr>
          <w:rFonts w:hint="eastAsia" w:ascii="黑体" w:hAnsi="黑体" w:eastAsia="黑体" w:cs="黑体"/>
          <w:color w:val="auto"/>
          <w:highlight w:val="none"/>
          <w:u w:val="single"/>
        </w:rPr>
        <w:t>　　年　　月　　日</w:t>
      </w:r>
      <w:r>
        <w:rPr>
          <w:rFonts w:hint="eastAsia" w:ascii="黑体" w:hAnsi="黑体" w:eastAsia="黑体" w:cs="黑体"/>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2、依法免税的投标人</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 ）现附上我方依法免税的证明材料复印件，上述证明材料真实有效，否则我方负全部责任。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1、请投标人按照实际情况编制填写，在相应的（）中打“√”，并按照本格式的要求提供相应证明材料的复印件。</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2、投标人提供的税收缴纳凭据复印件应符合下列规定：</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2.1投标截止时间前（不含投标截止时间的当月）已依法缴纳税收的投标人，提供投标截止时间前六个月（不含投标截止时间的当月）中任一月份的税收缴纳凭据复印件。</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2.2投标截止时间的当月成立的投标人，视同满足本项资格条件要求。</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3、若为依法免税范围的投标人，提供依法免税证明材料的，视同满足本项资格条件要求。</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二-5依法缴纳社会保障资金证明材料</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致：</w:t>
      </w:r>
      <w:r>
        <w:rPr>
          <w:rFonts w:hint="eastAsia" w:ascii="黑体" w:hAnsi="黑体" w:eastAsia="黑体" w:cs="黑体"/>
          <w:color w:val="auto"/>
          <w:highlight w:val="none"/>
          <w:u w:val="single"/>
        </w:rPr>
        <w:t>（采购人或采购代理机构）</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1、依法缴纳社会保障资金的投标人</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 ）法人（包括企业、事业单位和社会团体）的</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现附上自</w:t>
      </w:r>
      <w:r>
        <w:rPr>
          <w:rFonts w:hint="eastAsia" w:ascii="黑体" w:hAnsi="黑体" w:eastAsia="黑体" w:cs="黑体"/>
          <w:color w:val="auto"/>
          <w:highlight w:val="none"/>
          <w:u w:val="single"/>
        </w:rPr>
        <w:t>　　年　　月　　日</w:t>
      </w:r>
      <w:r>
        <w:rPr>
          <w:rFonts w:hint="eastAsia" w:ascii="黑体" w:hAnsi="黑体" w:eastAsia="黑体" w:cs="黑体"/>
          <w:color w:val="auto"/>
          <w:highlight w:val="none"/>
        </w:rPr>
        <w:t>至</w:t>
      </w:r>
      <w:r>
        <w:rPr>
          <w:rFonts w:hint="eastAsia" w:ascii="黑体" w:hAnsi="黑体" w:eastAsia="黑体" w:cs="黑体"/>
          <w:color w:val="auto"/>
          <w:highlight w:val="none"/>
          <w:u w:val="single"/>
        </w:rPr>
        <w:t>　　年　　月　　日</w:t>
      </w:r>
      <w:r>
        <w:rPr>
          <w:rFonts w:hint="eastAsia" w:ascii="黑体" w:hAnsi="黑体" w:eastAsia="黑体" w:cs="黑体"/>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 ）非法人（包括其他组织、自然人）的</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自</w:t>
      </w:r>
      <w:r>
        <w:rPr>
          <w:rFonts w:hint="eastAsia" w:ascii="黑体" w:hAnsi="黑体" w:eastAsia="黑体" w:cs="黑体"/>
          <w:color w:val="auto"/>
          <w:highlight w:val="none"/>
          <w:u w:val="single"/>
        </w:rPr>
        <w:t>　　年　　月　　日</w:t>
      </w:r>
      <w:r>
        <w:rPr>
          <w:rFonts w:hint="eastAsia" w:ascii="黑体" w:hAnsi="黑体" w:eastAsia="黑体" w:cs="黑体"/>
          <w:color w:val="auto"/>
          <w:highlight w:val="none"/>
        </w:rPr>
        <w:t>至</w:t>
      </w:r>
      <w:r>
        <w:rPr>
          <w:rFonts w:hint="eastAsia" w:ascii="黑体" w:hAnsi="黑体" w:eastAsia="黑体" w:cs="黑体"/>
          <w:color w:val="auto"/>
          <w:highlight w:val="none"/>
          <w:u w:val="single"/>
        </w:rPr>
        <w:t>　　年　　月　　日</w:t>
      </w:r>
      <w:r>
        <w:rPr>
          <w:rFonts w:hint="eastAsia" w:ascii="黑体" w:hAnsi="黑体" w:eastAsia="黑体" w:cs="黑体"/>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2、依法不需要缴纳或暂缓缴纳社会保障资金的投标人</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 ）现附上我方依法不需要缴纳或暂缓缴纳社会保障资金证明材料复印件，上述证明材料真实有效，否则我方负全部责任。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1、请投标人按照实际情况编制填写，在相应的（）中打“√”，并按照本格式的要求提供相应证明材料的复印件。</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2、投标人提供的社会保障资金缴纳凭据复印件应符合下列规定：</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2.2投标截止时间的当月成立的投标人，视同满足本项资格条件要求。</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3、若为依法不需要缴纳或暂缓缴纳社会保障资金的投标人，提供依法不需要缴纳或暂缓缴纳社会保障资金证明材料的，视同满足本项资格条件要求。</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二-6具备履行合同所必需设备和专业技术能力的声明函（若有）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致：</w:t>
      </w:r>
      <w:r>
        <w:rPr>
          <w:rFonts w:hint="eastAsia" w:ascii="黑体" w:hAnsi="黑体" w:eastAsia="黑体" w:cs="黑体"/>
          <w:color w:val="auto"/>
          <w:highlight w:val="none"/>
          <w:u w:val="single"/>
        </w:rPr>
        <w:t>（采购人或采购代理机构）</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我方具备履行合同所必需的设备和专业技术能力，否则产生不利后果由我方承担责任。</w:t>
      </w:r>
    </w:p>
    <w:p>
      <w:pPr>
        <w:pStyle w:val="8"/>
        <w:ind w:firstLine="960"/>
        <w:jc w:val="left"/>
        <w:rPr>
          <w:rFonts w:hint="eastAsia" w:ascii="黑体" w:hAnsi="黑体" w:eastAsia="黑体" w:cs="黑体"/>
          <w:color w:val="auto"/>
          <w:highlight w:val="none"/>
        </w:rPr>
      </w:pPr>
      <w:r>
        <w:rPr>
          <w:rFonts w:hint="eastAsia" w:ascii="黑体" w:hAnsi="黑体" w:eastAsia="黑体" w:cs="黑体"/>
          <w:color w:val="auto"/>
          <w:highlight w:val="none"/>
        </w:rPr>
        <w:t>特此声明。</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1、招标文件未要求投标人提供“具备履行合同所必需的设备和专业技术能力专项证明材料”的，投标人应提供本声明函。</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2、招标文件要求投标人提供“具备履行合同所必需的设备和专业技术能力专项证明材料”的，投标人可不提供本声明函。</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3、请投标人根据实际情况如实声明，否则视为提供虚假材料。</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二-7参加采购活动前三年内在经营活动中没有重大违法记录书面声明</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致：</w:t>
      </w:r>
      <w:r>
        <w:rPr>
          <w:rFonts w:hint="eastAsia" w:ascii="黑体" w:hAnsi="黑体" w:eastAsia="黑体" w:cs="黑体"/>
          <w:color w:val="auto"/>
          <w:highlight w:val="none"/>
          <w:u w:val="single"/>
        </w:rPr>
        <w:t>（采购人或采购代理机构）</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8"/>
        <w:ind w:firstLine="960"/>
        <w:jc w:val="left"/>
        <w:rPr>
          <w:rFonts w:hint="eastAsia" w:ascii="黑体" w:hAnsi="黑体" w:eastAsia="黑体" w:cs="黑体"/>
          <w:color w:val="auto"/>
          <w:highlight w:val="none"/>
        </w:rPr>
      </w:pPr>
      <w:r>
        <w:rPr>
          <w:rFonts w:hint="eastAsia" w:ascii="黑体" w:hAnsi="黑体" w:eastAsia="黑体" w:cs="黑体"/>
          <w:color w:val="auto"/>
          <w:highlight w:val="none"/>
        </w:rPr>
        <w:t>特此声明。</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请投标人根据实际情况如实声明，否则视为提供虚假材料。</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二-8信用记录查询提示</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1、由资格审查小组通过网站查询并打印投标人的信用记录。</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二-9中小企业声明函</w:t>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（以资格条件落实中小企业扶持政策时适用，若有）</w:t>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中小企业声明函（货物）</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本公司（联合体）郑重声明，根据《政府采购促进中小企业发展管理办法》（财库﹝2020﹞46 号）的规定，本公司（联合体）参加</w:t>
      </w:r>
      <w:r>
        <w:rPr>
          <w:rFonts w:hint="eastAsia" w:ascii="黑体" w:hAnsi="黑体" w:eastAsia="黑体" w:cs="黑体"/>
          <w:color w:val="auto"/>
          <w:highlight w:val="none"/>
          <w:u w:val="single"/>
        </w:rPr>
        <w:t>（单位名称）</w:t>
      </w:r>
      <w:r>
        <w:rPr>
          <w:rFonts w:hint="eastAsia" w:ascii="黑体" w:hAnsi="黑体" w:eastAsia="黑体" w:cs="黑体"/>
          <w:color w:val="auto"/>
          <w:highlight w:val="none"/>
        </w:rPr>
        <w:t>的</w:t>
      </w:r>
      <w:r>
        <w:rPr>
          <w:rFonts w:hint="eastAsia" w:ascii="黑体" w:hAnsi="黑体" w:eastAsia="黑体" w:cs="黑体"/>
          <w:color w:val="auto"/>
          <w:highlight w:val="none"/>
          <w:u w:val="single"/>
        </w:rPr>
        <w:t>（项目名称）</w:t>
      </w:r>
      <w:r>
        <w:rPr>
          <w:rFonts w:hint="eastAsia" w:ascii="黑体" w:hAnsi="黑体" w:eastAsia="黑体" w:cs="黑体"/>
          <w:color w:val="auto"/>
          <w:highlight w:val="none"/>
        </w:rPr>
        <w:t>采购活动，提供的货物全部由符合政策要求的中小企业制造。相关企业（含联合体中的中小企业、签订分包意向协议的中小企业）的具体情况如下：</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w:t>
      </w:r>
      <w:r>
        <w:rPr>
          <w:rFonts w:hint="eastAsia" w:ascii="黑体" w:hAnsi="黑体" w:eastAsia="黑体" w:cs="黑体"/>
          <w:color w:val="auto"/>
          <w:highlight w:val="none"/>
          <w:u w:val="single"/>
        </w:rPr>
        <w:t xml:space="preserve"> （标的名称） </w:t>
      </w:r>
      <w:r>
        <w:rPr>
          <w:rFonts w:hint="eastAsia" w:ascii="黑体" w:hAnsi="黑体" w:eastAsia="黑体" w:cs="黑体"/>
          <w:color w:val="auto"/>
          <w:highlight w:val="none"/>
        </w:rPr>
        <w:t>，属于</w:t>
      </w:r>
      <w:r>
        <w:rPr>
          <w:rFonts w:hint="eastAsia" w:ascii="黑体" w:hAnsi="黑体" w:eastAsia="黑体" w:cs="黑体"/>
          <w:color w:val="auto"/>
          <w:highlight w:val="none"/>
          <w:u w:val="single"/>
        </w:rPr>
        <w:t>（采购文件中明确的所属行业）</w:t>
      </w:r>
      <w:r>
        <w:rPr>
          <w:rFonts w:hint="eastAsia" w:ascii="黑体" w:hAnsi="黑体" w:eastAsia="黑体" w:cs="黑体"/>
          <w:color w:val="auto"/>
          <w:highlight w:val="none"/>
        </w:rPr>
        <w:t>行业；制造商为</w:t>
      </w:r>
      <w:r>
        <w:rPr>
          <w:rFonts w:hint="eastAsia" w:ascii="黑体" w:hAnsi="黑体" w:eastAsia="黑体" w:cs="黑体"/>
          <w:color w:val="auto"/>
          <w:highlight w:val="none"/>
          <w:u w:val="single"/>
        </w:rPr>
        <w:t>（企业名称）</w:t>
      </w:r>
      <w:r>
        <w:rPr>
          <w:rFonts w:hint="eastAsia" w:ascii="黑体" w:hAnsi="黑体" w:eastAsia="黑体" w:cs="黑体"/>
          <w:color w:val="auto"/>
          <w:highlight w:val="none"/>
        </w:rPr>
        <w:t>，从业人员</w:t>
      </w:r>
      <w:r>
        <w:rPr>
          <w:rFonts w:hint="eastAsia" w:ascii="黑体" w:hAnsi="黑体" w:eastAsia="黑体" w:cs="黑体"/>
          <w:color w:val="auto"/>
          <w:highlight w:val="none"/>
          <w:u w:val="single"/>
        </w:rPr>
        <w:t>　　　　　</w:t>
      </w:r>
      <w:r>
        <w:rPr>
          <w:rFonts w:hint="eastAsia" w:ascii="黑体" w:hAnsi="黑体" w:eastAsia="黑体" w:cs="黑体"/>
          <w:color w:val="auto"/>
          <w:highlight w:val="none"/>
        </w:rPr>
        <w:t>人，营业收入为</w:t>
      </w:r>
      <w:r>
        <w:rPr>
          <w:rFonts w:hint="eastAsia" w:ascii="黑体" w:hAnsi="黑体" w:eastAsia="黑体" w:cs="黑体"/>
          <w:color w:val="auto"/>
          <w:highlight w:val="none"/>
          <w:u w:val="single"/>
        </w:rPr>
        <w:t>　　　　　</w:t>
      </w:r>
      <w:r>
        <w:rPr>
          <w:rFonts w:hint="eastAsia" w:ascii="黑体" w:hAnsi="黑体" w:eastAsia="黑体" w:cs="黑体"/>
          <w:color w:val="auto"/>
          <w:highlight w:val="none"/>
        </w:rPr>
        <w:t>万元，资产总额为</w:t>
      </w:r>
      <w:r>
        <w:rPr>
          <w:rFonts w:hint="eastAsia" w:ascii="黑体" w:hAnsi="黑体" w:eastAsia="黑体" w:cs="黑体"/>
          <w:color w:val="auto"/>
          <w:highlight w:val="none"/>
          <w:u w:val="single"/>
        </w:rPr>
        <w:t>　　　　　</w:t>
      </w:r>
      <w:r>
        <w:rPr>
          <w:rFonts w:hint="eastAsia" w:ascii="黑体" w:hAnsi="黑体" w:eastAsia="黑体" w:cs="黑体"/>
          <w:color w:val="auto"/>
          <w:highlight w:val="none"/>
        </w:rPr>
        <w:t>万元</w:t>
      </w:r>
      <w:r>
        <w:rPr>
          <w:rFonts w:hint="eastAsia" w:ascii="黑体" w:hAnsi="黑体" w:eastAsia="黑体" w:cs="黑体"/>
          <w:color w:val="auto"/>
          <w:sz w:val="21"/>
          <w:highlight w:val="none"/>
        </w:rPr>
        <w:t>1</w:t>
      </w:r>
      <w:r>
        <w:rPr>
          <w:rFonts w:hint="eastAsia" w:ascii="黑体" w:hAnsi="黑体" w:eastAsia="黑体" w:cs="黑体"/>
          <w:color w:val="auto"/>
          <w:highlight w:val="none"/>
        </w:rPr>
        <w:t>，属于</w:t>
      </w:r>
      <w:r>
        <w:rPr>
          <w:rFonts w:hint="eastAsia" w:ascii="黑体" w:hAnsi="黑体" w:eastAsia="黑体" w:cs="黑体"/>
          <w:color w:val="auto"/>
          <w:highlight w:val="none"/>
          <w:u w:val="single"/>
        </w:rPr>
        <w:t>（中型企业、小型企业、微型企业）</w:t>
      </w:r>
      <w:r>
        <w:rPr>
          <w:rFonts w:hint="eastAsia" w:ascii="黑体" w:hAnsi="黑体" w:eastAsia="黑体" w:cs="黑体"/>
          <w:color w:val="auto"/>
          <w:highlight w:val="none"/>
        </w:rPr>
        <w:t>；</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w:t>
      </w:r>
      <w:r>
        <w:rPr>
          <w:rFonts w:hint="eastAsia" w:ascii="黑体" w:hAnsi="黑体" w:eastAsia="黑体" w:cs="黑体"/>
          <w:color w:val="auto"/>
          <w:highlight w:val="none"/>
          <w:u w:val="single"/>
        </w:rPr>
        <w:t xml:space="preserve"> （标的名称） </w:t>
      </w:r>
      <w:r>
        <w:rPr>
          <w:rFonts w:hint="eastAsia" w:ascii="黑体" w:hAnsi="黑体" w:eastAsia="黑体" w:cs="黑体"/>
          <w:color w:val="auto"/>
          <w:highlight w:val="none"/>
        </w:rPr>
        <w:t>，属于</w:t>
      </w:r>
      <w:r>
        <w:rPr>
          <w:rFonts w:hint="eastAsia" w:ascii="黑体" w:hAnsi="黑体" w:eastAsia="黑体" w:cs="黑体"/>
          <w:color w:val="auto"/>
          <w:highlight w:val="none"/>
          <w:u w:val="single"/>
        </w:rPr>
        <w:t>（采购文件中明确的所属行业）</w:t>
      </w:r>
      <w:r>
        <w:rPr>
          <w:rFonts w:hint="eastAsia" w:ascii="黑体" w:hAnsi="黑体" w:eastAsia="黑体" w:cs="黑体"/>
          <w:color w:val="auto"/>
          <w:highlight w:val="none"/>
        </w:rPr>
        <w:t>行业；制造商为</w:t>
      </w:r>
      <w:r>
        <w:rPr>
          <w:rFonts w:hint="eastAsia" w:ascii="黑体" w:hAnsi="黑体" w:eastAsia="黑体" w:cs="黑体"/>
          <w:color w:val="auto"/>
          <w:highlight w:val="none"/>
          <w:u w:val="single"/>
        </w:rPr>
        <w:t>（企业名称）</w:t>
      </w:r>
      <w:r>
        <w:rPr>
          <w:rFonts w:hint="eastAsia" w:ascii="黑体" w:hAnsi="黑体" w:eastAsia="黑体" w:cs="黑体"/>
          <w:color w:val="auto"/>
          <w:highlight w:val="none"/>
        </w:rPr>
        <w:t>，从业人员</w:t>
      </w:r>
      <w:r>
        <w:rPr>
          <w:rFonts w:hint="eastAsia" w:ascii="黑体" w:hAnsi="黑体" w:eastAsia="黑体" w:cs="黑体"/>
          <w:color w:val="auto"/>
          <w:highlight w:val="none"/>
          <w:u w:val="single"/>
        </w:rPr>
        <w:t>　　　　　</w:t>
      </w:r>
      <w:r>
        <w:rPr>
          <w:rFonts w:hint="eastAsia" w:ascii="黑体" w:hAnsi="黑体" w:eastAsia="黑体" w:cs="黑体"/>
          <w:color w:val="auto"/>
          <w:highlight w:val="none"/>
        </w:rPr>
        <w:t>人，营业收入为</w:t>
      </w:r>
      <w:r>
        <w:rPr>
          <w:rFonts w:hint="eastAsia" w:ascii="黑体" w:hAnsi="黑体" w:eastAsia="黑体" w:cs="黑体"/>
          <w:color w:val="auto"/>
          <w:highlight w:val="none"/>
          <w:u w:val="single"/>
        </w:rPr>
        <w:t>　　　　　</w:t>
      </w:r>
      <w:r>
        <w:rPr>
          <w:rFonts w:hint="eastAsia" w:ascii="黑体" w:hAnsi="黑体" w:eastAsia="黑体" w:cs="黑体"/>
          <w:color w:val="auto"/>
          <w:highlight w:val="none"/>
        </w:rPr>
        <w:t>万元，资产总额为</w:t>
      </w:r>
      <w:r>
        <w:rPr>
          <w:rFonts w:hint="eastAsia" w:ascii="黑体" w:hAnsi="黑体" w:eastAsia="黑体" w:cs="黑体"/>
          <w:color w:val="auto"/>
          <w:highlight w:val="none"/>
          <w:u w:val="single"/>
        </w:rPr>
        <w:t>　　　　　</w:t>
      </w:r>
      <w:r>
        <w:rPr>
          <w:rFonts w:hint="eastAsia" w:ascii="黑体" w:hAnsi="黑体" w:eastAsia="黑体" w:cs="黑体"/>
          <w:color w:val="auto"/>
          <w:highlight w:val="none"/>
        </w:rPr>
        <w:t>万元，属于</w:t>
      </w:r>
      <w:r>
        <w:rPr>
          <w:rFonts w:hint="eastAsia" w:ascii="黑体" w:hAnsi="黑体" w:eastAsia="黑体" w:cs="黑体"/>
          <w:color w:val="auto"/>
          <w:highlight w:val="none"/>
          <w:u w:val="single"/>
        </w:rPr>
        <w:t>（中型企业、小型企业、微型企业）</w:t>
      </w:r>
      <w:r>
        <w:rPr>
          <w:rFonts w:hint="eastAsia" w:ascii="黑体" w:hAnsi="黑体" w:eastAsia="黑体" w:cs="黑体"/>
          <w:color w:val="auto"/>
          <w:highlight w:val="none"/>
        </w:rPr>
        <w:t>；</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以上企业，不属于大企业的分支机构，不存在控股股东为大企业的情形，也不存在与大企业的负责人为同一人的情形。</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本企业对上述声明内容的真实性负责。如有虚假，将依法承担相应责任。</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1、从业人员、营业收入、资产总额填报上一年度数据，无上一年度数据的新成立企业可不填报。</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中小企业声明函（工程、服务）</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本公司（联合体）郑重声明，根据《政府采购促进中小企业发展管理办法》（财库﹝2020﹞46 号）的规定，本公司（联合体）参加</w:t>
      </w:r>
      <w:r>
        <w:rPr>
          <w:rFonts w:hint="eastAsia" w:ascii="黑体" w:hAnsi="黑体" w:eastAsia="黑体" w:cs="黑体"/>
          <w:color w:val="auto"/>
          <w:highlight w:val="none"/>
          <w:u w:val="single"/>
        </w:rPr>
        <w:t>（单位名称）</w:t>
      </w:r>
      <w:r>
        <w:rPr>
          <w:rFonts w:hint="eastAsia" w:ascii="黑体" w:hAnsi="黑体" w:eastAsia="黑体" w:cs="黑体"/>
          <w:color w:val="auto"/>
          <w:highlight w:val="none"/>
        </w:rPr>
        <w:t>的</w:t>
      </w:r>
      <w:r>
        <w:rPr>
          <w:rFonts w:hint="eastAsia" w:ascii="黑体" w:hAnsi="黑体" w:eastAsia="黑体" w:cs="黑体"/>
          <w:color w:val="auto"/>
          <w:highlight w:val="none"/>
          <w:u w:val="single"/>
        </w:rPr>
        <w:t>（项目名称）</w:t>
      </w:r>
      <w:r>
        <w:rPr>
          <w:rFonts w:hint="eastAsia" w:ascii="黑体" w:hAnsi="黑体" w:eastAsia="黑体" w:cs="黑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w:t>
      </w:r>
      <w:r>
        <w:rPr>
          <w:rFonts w:hint="eastAsia" w:ascii="黑体" w:hAnsi="黑体" w:eastAsia="黑体" w:cs="黑体"/>
          <w:color w:val="auto"/>
          <w:highlight w:val="none"/>
          <w:u w:val="single"/>
        </w:rPr>
        <w:t>（标的名称）</w:t>
      </w:r>
      <w:r>
        <w:rPr>
          <w:rFonts w:hint="eastAsia" w:ascii="黑体" w:hAnsi="黑体" w:eastAsia="黑体" w:cs="黑体"/>
          <w:color w:val="auto"/>
          <w:highlight w:val="none"/>
        </w:rPr>
        <w:t>，属于</w:t>
      </w:r>
      <w:r>
        <w:rPr>
          <w:rFonts w:hint="eastAsia" w:ascii="黑体" w:hAnsi="黑体" w:eastAsia="黑体" w:cs="黑体"/>
          <w:color w:val="auto"/>
          <w:highlight w:val="none"/>
          <w:u w:val="single"/>
        </w:rPr>
        <w:t>（采购文件中明确的所属行业）</w:t>
      </w:r>
      <w:r>
        <w:rPr>
          <w:rFonts w:hint="eastAsia" w:ascii="黑体" w:hAnsi="黑体" w:eastAsia="黑体" w:cs="黑体"/>
          <w:color w:val="auto"/>
          <w:highlight w:val="none"/>
        </w:rPr>
        <w:t>；承建（承接）企业为</w:t>
      </w:r>
      <w:r>
        <w:rPr>
          <w:rFonts w:hint="eastAsia" w:ascii="黑体" w:hAnsi="黑体" w:eastAsia="黑体" w:cs="黑体"/>
          <w:color w:val="auto"/>
          <w:highlight w:val="none"/>
          <w:u w:val="single"/>
        </w:rPr>
        <w:t>（企业名称）</w:t>
      </w:r>
      <w:r>
        <w:rPr>
          <w:rFonts w:hint="eastAsia" w:ascii="黑体" w:hAnsi="黑体" w:eastAsia="黑体" w:cs="黑体"/>
          <w:color w:val="auto"/>
          <w:highlight w:val="none"/>
        </w:rPr>
        <w:t>，从业人员</w:t>
      </w:r>
      <w:r>
        <w:rPr>
          <w:rFonts w:hint="eastAsia" w:ascii="黑体" w:hAnsi="黑体" w:eastAsia="黑体" w:cs="黑体"/>
          <w:color w:val="auto"/>
          <w:highlight w:val="none"/>
          <w:u w:val="single"/>
        </w:rPr>
        <w:t>　　　　　</w:t>
      </w:r>
      <w:r>
        <w:rPr>
          <w:rFonts w:hint="eastAsia" w:ascii="黑体" w:hAnsi="黑体" w:eastAsia="黑体" w:cs="黑体"/>
          <w:color w:val="auto"/>
          <w:highlight w:val="none"/>
        </w:rPr>
        <w:t>人，营业收入为</w:t>
      </w:r>
      <w:r>
        <w:rPr>
          <w:rFonts w:hint="eastAsia" w:ascii="黑体" w:hAnsi="黑体" w:eastAsia="黑体" w:cs="黑体"/>
          <w:color w:val="auto"/>
          <w:highlight w:val="none"/>
          <w:u w:val="single"/>
        </w:rPr>
        <w:t>　　　　　</w:t>
      </w:r>
      <w:r>
        <w:rPr>
          <w:rFonts w:hint="eastAsia" w:ascii="黑体" w:hAnsi="黑体" w:eastAsia="黑体" w:cs="黑体"/>
          <w:color w:val="auto"/>
          <w:highlight w:val="none"/>
        </w:rPr>
        <w:t>万元，资产总额为</w:t>
      </w:r>
      <w:r>
        <w:rPr>
          <w:rFonts w:hint="eastAsia" w:ascii="黑体" w:hAnsi="黑体" w:eastAsia="黑体" w:cs="黑体"/>
          <w:color w:val="auto"/>
          <w:highlight w:val="none"/>
          <w:u w:val="single"/>
        </w:rPr>
        <w:t>　　　　　</w:t>
      </w:r>
      <w:r>
        <w:rPr>
          <w:rFonts w:hint="eastAsia" w:ascii="黑体" w:hAnsi="黑体" w:eastAsia="黑体" w:cs="黑体"/>
          <w:color w:val="auto"/>
          <w:highlight w:val="none"/>
        </w:rPr>
        <w:t>万元</w:t>
      </w:r>
      <w:r>
        <w:rPr>
          <w:rFonts w:hint="eastAsia" w:ascii="黑体" w:hAnsi="黑体" w:eastAsia="黑体" w:cs="黑体"/>
          <w:color w:val="auto"/>
          <w:sz w:val="21"/>
          <w:highlight w:val="none"/>
        </w:rPr>
        <w:t>1</w:t>
      </w:r>
      <w:r>
        <w:rPr>
          <w:rFonts w:hint="eastAsia" w:ascii="黑体" w:hAnsi="黑体" w:eastAsia="黑体" w:cs="黑体"/>
          <w:color w:val="auto"/>
          <w:highlight w:val="none"/>
        </w:rPr>
        <w:t>，属于</w:t>
      </w:r>
      <w:r>
        <w:rPr>
          <w:rFonts w:hint="eastAsia" w:ascii="黑体" w:hAnsi="黑体" w:eastAsia="黑体" w:cs="黑体"/>
          <w:color w:val="auto"/>
          <w:highlight w:val="none"/>
          <w:u w:val="single"/>
        </w:rPr>
        <w:t>（中型企业、小型企业、微型企业）</w:t>
      </w:r>
      <w:r>
        <w:rPr>
          <w:rFonts w:hint="eastAsia" w:ascii="黑体" w:hAnsi="黑体" w:eastAsia="黑体" w:cs="黑体"/>
          <w:color w:val="auto"/>
          <w:highlight w:val="none"/>
        </w:rPr>
        <w:t>；</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w:t>
      </w:r>
      <w:r>
        <w:rPr>
          <w:rFonts w:hint="eastAsia" w:ascii="黑体" w:hAnsi="黑体" w:eastAsia="黑体" w:cs="黑体"/>
          <w:color w:val="auto"/>
          <w:highlight w:val="none"/>
          <w:u w:val="single"/>
        </w:rPr>
        <w:t>（标的名称）</w:t>
      </w:r>
      <w:r>
        <w:rPr>
          <w:rFonts w:hint="eastAsia" w:ascii="黑体" w:hAnsi="黑体" w:eastAsia="黑体" w:cs="黑体"/>
          <w:color w:val="auto"/>
          <w:highlight w:val="none"/>
        </w:rPr>
        <w:t>，属于</w:t>
      </w:r>
      <w:r>
        <w:rPr>
          <w:rFonts w:hint="eastAsia" w:ascii="黑体" w:hAnsi="黑体" w:eastAsia="黑体" w:cs="黑体"/>
          <w:color w:val="auto"/>
          <w:highlight w:val="none"/>
          <w:u w:val="single"/>
        </w:rPr>
        <w:t>（采购文件中明确的所属行业）</w:t>
      </w:r>
      <w:r>
        <w:rPr>
          <w:rFonts w:hint="eastAsia" w:ascii="黑体" w:hAnsi="黑体" w:eastAsia="黑体" w:cs="黑体"/>
          <w:color w:val="auto"/>
          <w:highlight w:val="none"/>
        </w:rPr>
        <w:t>；承建（承接）企业为</w:t>
      </w:r>
      <w:r>
        <w:rPr>
          <w:rFonts w:hint="eastAsia" w:ascii="黑体" w:hAnsi="黑体" w:eastAsia="黑体" w:cs="黑体"/>
          <w:color w:val="auto"/>
          <w:highlight w:val="none"/>
          <w:u w:val="single"/>
        </w:rPr>
        <w:t>（企业名称）</w:t>
      </w:r>
      <w:r>
        <w:rPr>
          <w:rFonts w:hint="eastAsia" w:ascii="黑体" w:hAnsi="黑体" w:eastAsia="黑体" w:cs="黑体"/>
          <w:color w:val="auto"/>
          <w:highlight w:val="none"/>
        </w:rPr>
        <w:t>，从业人员</w:t>
      </w:r>
      <w:r>
        <w:rPr>
          <w:rFonts w:hint="eastAsia" w:ascii="黑体" w:hAnsi="黑体" w:eastAsia="黑体" w:cs="黑体"/>
          <w:color w:val="auto"/>
          <w:highlight w:val="none"/>
          <w:u w:val="single"/>
        </w:rPr>
        <w:t>　　　　　</w:t>
      </w:r>
      <w:r>
        <w:rPr>
          <w:rFonts w:hint="eastAsia" w:ascii="黑体" w:hAnsi="黑体" w:eastAsia="黑体" w:cs="黑体"/>
          <w:color w:val="auto"/>
          <w:highlight w:val="none"/>
        </w:rPr>
        <w:t>人，营业收入为</w:t>
      </w:r>
      <w:r>
        <w:rPr>
          <w:rFonts w:hint="eastAsia" w:ascii="黑体" w:hAnsi="黑体" w:eastAsia="黑体" w:cs="黑体"/>
          <w:color w:val="auto"/>
          <w:highlight w:val="none"/>
          <w:u w:val="single"/>
        </w:rPr>
        <w:t>　　　　　</w:t>
      </w:r>
      <w:r>
        <w:rPr>
          <w:rFonts w:hint="eastAsia" w:ascii="黑体" w:hAnsi="黑体" w:eastAsia="黑体" w:cs="黑体"/>
          <w:color w:val="auto"/>
          <w:highlight w:val="none"/>
        </w:rPr>
        <w:t>万元，资产总额为</w:t>
      </w:r>
      <w:r>
        <w:rPr>
          <w:rFonts w:hint="eastAsia" w:ascii="黑体" w:hAnsi="黑体" w:eastAsia="黑体" w:cs="黑体"/>
          <w:color w:val="auto"/>
          <w:highlight w:val="none"/>
          <w:u w:val="single"/>
        </w:rPr>
        <w:t>　　　　　</w:t>
      </w:r>
      <w:r>
        <w:rPr>
          <w:rFonts w:hint="eastAsia" w:ascii="黑体" w:hAnsi="黑体" w:eastAsia="黑体" w:cs="黑体"/>
          <w:color w:val="auto"/>
          <w:highlight w:val="none"/>
        </w:rPr>
        <w:t>万元，属于</w:t>
      </w:r>
      <w:r>
        <w:rPr>
          <w:rFonts w:hint="eastAsia" w:ascii="黑体" w:hAnsi="黑体" w:eastAsia="黑体" w:cs="黑体"/>
          <w:color w:val="auto"/>
          <w:highlight w:val="none"/>
          <w:u w:val="single"/>
        </w:rPr>
        <w:t>（中型企业、小型企业、微型企业）</w:t>
      </w:r>
      <w:r>
        <w:rPr>
          <w:rFonts w:hint="eastAsia" w:ascii="黑体" w:hAnsi="黑体" w:eastAsia="黑体" w:cs="黑体"/>
          <w:color w:val="auto"/>
          <w:highlight w:val="none"/>
        </w:rPr>
        <w:t>；</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以上企业，不属于大企业的分支机构，不存在控股股东为大企业的情形，也不存在与大企业的负责人为同一人的情形。</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本企业对上述声明内容的真实性负责。如有虚假，将依法承担相应责任。</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1、从业人员、营业收入、资产总额填报上一年度数据，无上一年度数据的新成立企业可不填报。</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残疾人福利性单位声明函</w:t>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（以资格条件落实中小企业扶持政策时适用，若有）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 ）由本投标人承建的（填写“所投采购包、品目号”）工程</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 ）由本投标人承接的（填写“所投采购包、品目号”）服务；</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本投标人对上述声明的真实性负责。如有虚假，将依法承担相应责任。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备注：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1、请投标人按照实际情况编制填写本声明函，并在相应的（）中打“√”。</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2、若《残疾人福利性单位声明函》内容不真实，视为提供虚假材料。</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附：</w:t>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监狱企业证明材料</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二-10联合体协议（若有）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致：</w:t>
      </w:r>
      <w:r>
        <w:rPr>
          <w:rFonts w:hint="eastAsia" w:ascii="黑体" w:hAnsi="黑体" w:eastAsia="黑体" w:cs="黑体"/>
          <w:color w:val="auto"/>
          <w:highlight w:val="none"/>
          <w:u w:val="single"/>
        </w:rPr>
        <w:t>（采购人或采购代理机构）</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兹有</w:t>
      </w:r>
      <w:r>
        <w:rPr>
          <w:rFonts w:hint="eastAsia" w:ascii="黑体" w:hAnsi="黑体" w:eastAsia="黑体" w:cs="黑体"/>
          <w:color w:val="auto"/>
          <w:highlight w:val="none"/>
          <w:u w:val="single"/>
        </w:rPr>
        <w:t>（填写“联合体中各方的全称”，各方的全称之间请用“、”分割）</w:t>
      </w:r>
      <w:r>
        <w:rPr>
          <w:rFonts w:hint="eastAsia" w:ascii="黑体" w:hAnsi="黑体" w:eastAsia="黑体" w:cs="黑体"/>
          <w:color w:val="auto"/>
          <w:highlight w:val="none"/>
        </w:rPr>
        <w:t>自愿组成联合体，共同参加</w:t>
      </w:r>
      <w:r>
        <w:rPr>
          <w:rFonts w:hint="eastAsia" w:ascii="黑体" w:hAnsi="黑体" w:eastAsia="黑体" w:cs="黑体"/>
          <w:color w:val="auto"/>
          <w:highlight w:val="none"/>
          <w:u w:val="single"/>
        </w:rPr>
        <w:t>（填写“项目名称”）</w:t>
      </w:r>
      <w:r>
        <w:rPr>
          <w:rFonts w:hint="eastAsia" w:ascii="黑体" w:hAnsi="黑体" w:eastAsia="黑体" w:cs="黑体"/>
          <w:color w:val="auto"/>
          <w:highlight w:val="none"/>
        </w:rPr>
        <w:t xml:space="preserve"> 项目（项目编号：</w:t>
      </w:r>
      <w:r>
        <w:rPr>
          <w:rFonts w:hint="eastAsia" w:ascii="黑体" w:hAnsi="黑体" w:eastAsia="黑体" w:cs="黑体"/>
          <w:color w:val="auto"/>
          <w:highlight w:val="none"/>
          <w:u w:val="single"/>
        </w:rPr>
        <w:t>　　　　　　</w:t>
      </w:r>
      <w:r>
        <w:rPr>
          <w:rFonts w:hint="eastAsia" w:ascii="黑体" w:hAnsi="黑体" w:eastAsia="黑体" w:cs="黑体"/>
          <w:color w:val="auto"/>
          <w:highlight w:val="none"/>
        </w:rPr>
        <w:t>）的投标。现就联合体参加本项目投标的有关事宜达成下列协议：</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一、联合体各方应承担的工作和义务具体如下：</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1、牵头方（全称）：</w:t>
      </w:r>
      <w:r>
        <w:rPr>
          <w:rFonts w:hint="eastAsia" w:ascii="黑体" w:hAnsi="黑体" w:eastAsia="黑体" w:cs="黑体"/>
          <w:color w:val="auto"/>
          <w:highlight w:val="none"/>
          <w:u w:val="single"/>
        </w:rPr>
        <w:t xml:space="preserve">（填写“工作及义务的具体内容”） </w:t>
      </w:r>
      <w:r>
        <w:rPr>
          <w:rFonts w:hint="eastAsia" w:ascii="黑体" w:hAnsi="黑体" w:eastAsia="黑体" w:cs="黑体"/>
          <w:color w:val="auto"/>
          <w:highlight w:val="none"/>
        </w:rPr>
        <w:t>；</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2、成员方：</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2.1（成员一的全称）：</w:t>
      </w:r>
      <w:r>
        <w:rPr>
          <w:rFonts w:hint="eastAsia" w:ascii="黑体" w:hAnsi="黑体" w:eastAsia="黑体" w:cs="黑体"/>
          <w:color w:val="auto"/>
          <w:highlight w:val="none"/>
          <w:u w:val="single"/>
        </w:rPr>
        <w:t>（填写“工作及义务的具体内容”）</w:t>
      </w:r>
      <w:r>
        <w:rPr>
          <w:rFonts w:hint="eastAsia" w:ascii="黑体" w:hAnsi="黑体" w:eastAsia="黑体" w:cs="黑体"/>
          <w:color w:val="auto"/>
          <w:highlight w:val="none"/>
        </w:rPr>
        <w:t xml:space="preserve"> ；</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二、联合体各方的合同金额占比，具体如下：</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1.牵头方（</w:t>
      </w:r>
      <w:r>
        <w:rPr>
          <w:rFonts w:hint="eastAsia" w:ascii="黑体" w:hAnsi="黑体" w:eastAsia="黑体" w:cs="黑体"/>
          <w:color w:val="auto"/>
          <w:highlight w:val="none"/>
          <w:u w:val="single"/>
        </w:rPr>
        <w:t xml:space="preserve"> 全称</w:t>
      </w:r>
      <w:r>
        <w:rPr>
          <w:rFonts w:hint="eastAsia" w:ascii="黑体" w:hAnsi="黑体" w:eastAsia="黑体" w:cs="黑体"/>
          <w:color w:val="auto"/>
          <w:highlight w:val="none"/>
        </w:rPr>
        <w:t xml:space="preserve"> ）的合同金额占合同总额的</w:t>
      </w:r>
      <w:r>
        <w:rPr>
          <w:rFonts w:hint="eastAsia" w:ascii="黑体" w:hAnsi="黑体" w:eastAsia="黑体" w:cs="黑体"/>
          <w:color w:val="auto"/>
          <w:highlight w:val="none"/>
          <w:u w:val="single"/>
        </w:rPr>
        <w:t>　　</w:t>
      </w:r>
      <w:r>
        <w:rPr>
          <w:rFonts w:hint="eastAsia" w:ascii="黑体" w:hAnsi="黑体" w:eastAsia="黑体" w:cs="黑体"/>
          <w:color w:val="auto"/>
          <w:highlight w:val="none"/>
        </w:rPr>
        <w:t>%；</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2.成员方：</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2.1（</w:t>
      </w:r>
      <w:r>
        <w:rPr>
          <w:rFonts w:hint="eastAsia" w:ascii="黑体" w:hAnsi="黑体" w:eastAsia="黑体" w:cs="黑体"/>
          <w:color w:val="auto"/>
          <w:highlight w:val="none"/>
          <w:u w:val="single"/>
        </w:rPr>
        <w:t xml:space="preserve"> 成员1的全称 </w:t>
      </w:r>
      <w:r>
        <w:rPr>
          <w:rFonts w:hint="eastAsia" w:ascii="黑体" w:hAnsi="黑体" w:eastAsia="黑体" w:cs="黑体"/>
          <w:color w:val="auto"/>
          <w:highlight w:val="none"/>
        </w:rPr>
        <w:t>）的合同金额占合同总额的</w:t>
      </w:r>
      <w:r>
        <w:rPr>
          <w:rFonts w:hint="eastAsia" w:ascii="黑体" w:hAnsi="黑体" w:eastAsia="黑体" w:cs="黑体"/>
          <w:color w:val="auto"/>
          <w:highlight w:val="none"/>
          <w:u w:val="single"/>
        </w:rPr>
        <w:t>　　</w:t>
      </w:r>
      <w:r>
        <w:rPr>
          <w:rFonts w:hint="eastAsia" w:ascii="黑体" w:hAnsi="黑体" w:eastAsia="黑体" w:cs="黑体"/>
          <w:color w:val="auto"/>
          <w:highlight w:val="none"/>
        </w:rPr>
        <w:t>%；</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三、联合体各方约定：</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1、由</w:t>
      </w:r>
      <w:r>
        <w:rPr>
          <w:rFonts w:hint="eastAsia" w:ascii="黑体" w:hAnsi="黑体" w:eastAsia="黑体" w:cs="黑体"/>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2、联合体各方约定由</w:t>
      </w:r>
      <w:r>
        <w:rPr>
          <w:rFonts w:hint="eastAsia" w:ascii="黑体" w:hAnsi="黑体" w:eastAsia="黑体" w:cs="黑体"/>
          <w:color w:val="auto"/>
          <w:highlight w:val="none"/>
          <w:u w:val="single"/>
        </w:rPr>
        <w:t>（填写“牵头方的全称”）代表联合体办理投标保证金事宜。</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五、本协议自签署之日起生效，政府采购合同履行完毕后自动失效。</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六、本协议一式</w:t>
      </w:r>
      <w:r>
        <w:rPr>
          <w:rFonts w:hint="eastAsia" w:ascii="黑体" w:hAnsi="黑体" w:eastAsia="黑体" w:cs="黑体"/>
          <w:color w:val="auto"/>
          <w:highlight w:val="none"/>
          <w:u w:val="single"/>
        </w:rPr>
        <w:t>（填写具体份数）</w:t>
      </w:r>
      <w:r>
        <w:rPr>
          <w:rFonts w:hint="eastAsia" w:ascii="黑体" w:hAnsi="黑体" w:eastAsia="黑体" w:cs="黑体"/>
          <w:color w:val="auto"/>
          <w:highlight w:val="none"/>
        </w:rPr>
        <w:t>份，联合体各方各执一份，电子投标文件中提交一份。</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（以下无正文）</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牵头方：</w:t>
      </w:r>
      <w:r>
        <w:rPr>
          <w:rFonts w:hint="eastAsia" w:ascii="黑体" w:hAnsi="黑体" w:eastAsia="黑体" w:cs="黑体"/>
          <w:color w:val="auto"/>
          <w:highlight w:val="none"/>
          <w:u w:val="single"/>
        </w:rPr>
        <w:t>（全称并加盖单位公章）</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法定代表人或其委托代理人：</w:t>
      </w:r>
      <w:r>
        <w:rPr>
          <w:rFonts w:hint="eastAsia" w:ascii="黑体" w:hAnsi="黑体" w:eastAsia="黑体" w:cs="黑体"/>
          <w:color w:val="auto"/>
          <w:highlight w:val="none"/>
          <w:u w:val="single"/>
        </w:rPr>
        <w:t xml:space="preserve"> （签字或盖章）</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成员一：</w:t>
      </w:r>
      <w:r>
        <w:rPr>
          <w:rFonts w:hint="eastAsia" w:ascii="黑体" w:hAnsi="黑体" w:eastAsia="黑体" w:cs="黑体"/>
          <w:color w:val="auto"/>
          <w:highlight w:val="none"/>
          <w:u w:val="single"/>
        </w:rPr>
        <w:t>（全称并加盖成员一的单位公章）</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法定代表人或其委托代理人：</w:t>
      </w:r>
      <w:r>
        <w:rPr>
          <w:rFonts w:hint="eastAsia" w:ascii="黑体" w:hAnsi="黑体" w:eastAsia="黑体" w:cs="黑体"/>
          <w:color w:val="auto"/>
          <w:highlight w:val="none"/>
          <w:u w:val="single"/>
        </w:rPr>
        <w:t xml:space="preserve"> （签字或盖章）</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成员**：</w:t>
      </w:r>
      <w:r>
        <w:rPr>
          <w:rFonts w:hint="eastAsia" w:ascii="黑体" w:hAnsi="黑体" w:eastAsia="黑体" w:cs="黑体"/>
          <w:color w:val="auto"/>
          <w:highlight w:val="none"/>
          <w:u w:val="single"/>
        </w:rPr>
        <w:t>（全称并加盖成员**的单位公章）</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法定代表人或其委托代理人：</w:t>
      </w:r>
      <w:r>
        <w:rPr>
          <w:rFonts w:hint="eastAsia" w:ascii="黑体" w:hAnsi="黑体" w:eastAsia="黑体" w:cs="黑体"/>
          <w:color w:val="auto"/>
          <w:highlight w:val="none"/>
          <w:u w:val="single"/>
        </w:rPr>
        <w:t xml:space="preserve"> （签字或盖章）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签署日期：</w:t>
      </w:r>
      <w:r>
        <w:rPr>
          <w:rFonts w:hint="eastAsia" w:ascii="黑体" w:hAnsi="黑体" w:eastAsia="黑体" w:cs="黑体"/>
          <w:color w:val="auto"/>
          <w:highlight w:val="none"/>
          <w:u w:val="single"/>
        </w:rPr>
        <w:t>　　年　　月　　日</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1、招标文件接受联合体投标且投标人为联合体的，投标人应提供本协议；否则无须提供。</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2、本协议由委托代理人签字或盖章的，应按照本章载明的格式提供“单位授权书”。</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3、在以联合体形式落实中小企业预留份额项目中，投标人除了要提供《中小企业声明函》，还需提供本协议。</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二-11分包意向协议（若有）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甲方（总包方）：</w:t>
      </w:r>
      <w:r>
        <w:rPr>
          <w:rFonts w:hint="eastAsia" w:ascii="黑体" w:hAnsi="黑体" w:eastAsia="黑体" w:cs="黑体"/>
          <w:color w:val="auto"/>
          <w:highlight w:val="none"/>
          <w:u w:val="single"/>
        </w:rPr>
        <w:t>　　　　　　　</w:t>
      </w:r>
      <w:r>
        <w:rPr>
          <w:rFonts w:hint="eastAsia" w:ascii="黑体" w:hAnsi="黑体" w:eastAsia="黑体" w:cs="黑体"/>
          <w:color w:val="auto"/>
          <w:highlight w:val="none"/>
        </w:rPr>
        <w:t>（即本项目的投标人）</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乙方（分包方）：</w:t>
      </w:r>
      <w:r>
        <w:rPr>
          <w:rFonts w:hint="eastAsia" w:ascii="黑体" w:hAnsi="黑体" w:eastAsia="黑体" w:cs="黑体"/>
          <w:color w:val="auto"/>
          <w:highlight w:val="none"/>
          <w:u w:val="single"/>
        </w:rPr>
        <w:t>　　　　　　　</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兹有甲方参加</w:t>
      </w:r>
      <w:r>
        <w:rPr>
          <w:rFonts w:hint="eastAsia" w:ascii="黑体" w:hAnsi="黑体" w:eastAsia="黑体" w:cs="黑体"/>
          <w:color w:val="auto"/>
          <w:highlight w:val="none"/>
          <w:u w:val="single"/>
        </w:rPr>
        <w:t>（填写“项目名称”）</w:t>
      </w:r>
      <w:r>
        <w:rPr>
          <w:rFonts w:hint="eastAsia" w:ascii="黑体" w:hAnsi="黑体" w:eastAsia="黑体" w:cs="黑体"/>
          <w:color w:val="auto"/>
          <w:highlight w:val="none"/>
        </w:rPr>
        <w:t xml:space="preserve"> 项目（项目编号：</w:t>
      </w:r>
      <w:r>
        <w:rPr>
          <w:rFonts w:hint="eastAsia" w:ascii="黑体" w:hAnsi="黑体" w:eastAsia="黑体" w:cs="黑体"/>
          <w:color w:val="auto"/>
          <w:highlight w:val="none"/>
          <w:u w:val="single"/>
        </w:rPr>
        <w:t>　　　　　　　</w:t>
      </w:r>
      <w:r>
        <w:rPr>
          <w:rFonts w:hint="eastAsia" w:ascii="黑体" w:hAnsi="黑体" w:eastAsia="黑体" w:cs="黑体"/>
          <w:color w:val="auto"/>
          <w:highlight w:val="none"/>
        </w:rPr>
        <w:t>）的政府采购活动。甲方期望将采购项目的部分采购标的分包给乙方完成，而乙方保证能够向甲方提供本协议项下的采购标的，甲、乙双方就合同分包的有关事宜达成下列协议：</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一、分包标的</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u w:val="single"/>
        </w:rPr>
        <w:t>（根据双方的意向填写，可以是表格或文字描述）。</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二、分包合同金额占比</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分包合同价占投标总价的比例：</w:t>
      </w:r>
      <w:r>
        <w:rPr>
          <w:rFonts w:hint="eastAsia" w:ascii="黑体" w:hAnsi="黑体" w:eastAsia="黑体" w:cs="黑体"/>
          <w:color w:val="auto"/>
          <w:highlight w:val="none"/>
          <w:u w:val="single"/>
        </w:rPr>
        <w:t>　　　　　</w:t>
      </w:r>
      <w:r>
        <w:rPr>
          <w:rFonts w:hint="eastAsia" w:ascii="黑体" w:hAnsi="黑体" w:eastAsia="黑体" w:cs="黑体"/>
          <w:color w:val="auto"/>
          <w:highlight w:val="none"/>
        </w:rPr>
        <w:t>%</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三、其他条款</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甲方：</w:t>
            </w:r>
          </w:p>
        </w:tc>
        <w:tc>
          <w:tcPr>
            <w:tcW w:w="415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住所：</w:t>
            </w:r>
          </w:p>
        </w:tc>
        <w:tc>
          <w:tcPr>
            <w:tcW w:w="415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单位负责人或委托代理人：</w:t>
            </w:r>
          </w:p>
        </w:tc>
        <w:tc>
          <w:tcPr>
            <w:tcW w:w="415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联系方法：</w:t>
            </w:r>
          </w:p>
        </w:tc>
        <w:tc>
          <w:tcPr>
            <w:tcW w:w="415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开户银行：</w:t>
            </w:r>
          </w:p>
        </w:tc>
        <w:tc>
          <w:tcPr>
            <w:tcW w:w="415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账号：</w:t>
            </w:r>
          </w:p>
        </w:tc>
        <w:tc>
          <w:tcPr>
            <w:tcW w:w="415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8"/>
              <w:jc w:val="right"/>
              <w:rPr>
                <w:rFonts w:hint="eastAsia" w:ascii="黑体" w:hAnsi="黑体" w:eastAsia="黑体" w:cs="黑体"/>
                <w:color w:val="auto"/>
                <w:highlight w:val="none"/>
              </w:rPr>
            </w:pPr>
            <w:r>
              <w:rPr>
                <w:rFonts w:hint="eastAsia" w:ascii="黑体" w:hAnsi="黑体" w:eastAsia="黑体" w:cs="黑体"/>
                <w:color w:val="auto"/>
                <w:highlight w:val="none"/>
              </w:rPr>
              <w:t>签订地点：</w:t>
            </w:r>
            <w:r>
              <w:rPr>
                <w:rFonts w:hint="eastAsia" w:ascii="黑体" w:hAnsi="黑体" w:eastAsia="黑体" w:cs="黑体"/>
                <w:color w:val="auto"/>
                <w:highlight w:val="none"/>
                <w:u w:val="single"/>
              </w:rPr>
              <w:t>　　　　　　　　　　</w:t>
            </w:r>
          </w:p>
          <w:p>
            <w:pPr>
              <w:pStyle w:val="8"/>
              <w:jc w:val="right"/>
              <w:rPr>
                <w:rFonts w:hint="eastAsia" w:ascii="黑体" w:hAnsi="黑体" w:eastAsia="黑体" w:cs="黑体"/>
                <w:color w:val="auto"/>
                <w:highlight w:val="none"/>
              </w:rPr>
            </w:pPr>
            <w:r>
              <w:rPr>
                <w:rFonts w:hint="eastAsia" w:ascii="黑体" w:hAnsi="黑体" w:eastAsia="黑体" w:cs="黑体"/>
                <w:color w:val="auto"/>
                <w:highlight w:val="none"/>
              </w:rPr>
              <w:t>签约日期：</w:t>
            </w:r>
            <w:r>
              <w:rPr>
                <w:rFonts w:hint="eastAsia" w:ascii="黑体" w:hAnsi="黑体" w:eastAsia="黑体" w:cs="黑体"/>
                <w:color w:val="auto"/>
                <w:highlight w:val="none"/>
                <w:u w:val="single"/>
              </w:rPr>
              <w:t>　　年　　月　　日</w:t>
            </w:r>
          </w:p>
        </w:tc>
      </w:tr>
    </w:tbl>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1.招标文件接受合同分包且投标人拟将合同分包的，应提供本协议；否则无须提供。</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2.本协议由委托代理人签字或盖章的，应按照本章载明的格式提供“单位授权书”。</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3.在以合同分包形式落实中小企业预留份额项目中，投标人除了要提供《中小企业声明函》，还需提供本协议。</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二-12其他资格证明文件（若有）</w:t>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二-12-①具备履行合同所必需设备和专业技术能力专项证明材料（若有）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致：</w:t>
      </w:r>
      <w:r>
        <w:rPr>
          <w:rFonts w:hint="eastAsia" w:ascii="黑体" w:hAnsi="黑体" w:eastAsia="黑体" w:cs="黑体"/>
          <w:color w:val="auto"/>
          <w:highlight w:val="none"/>
          <w:u w:val="single"/>
        </w:rPr>
        <w:t>（采购人或采购代理机构）</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现附上我方具备履行合同所必需的设备和专业技术能力的专项证明材料复印件（具体附后），上述证明材料真实有效，否则我方负全部责任。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1、招标文件要求投标人提供“具备履行合同所必需的设备和专业技术能力专项证明材料”的，投标人应按照招标文件规定在此项下提供相应证明材料复印件。</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2、投标人提供的相应证明材料复印件均应符合：内容完整、清晰、整洁，并由投标人加盖其单位公章。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二-12-②招标文件规定的其他资格证明文件（若有）</w:t>
      </w:r>
    </w:p>
    <w:p>
      <w:pPr>
        <w:pStyle w:val="8"/>
        <w:ind w:firstLine="480"/>
        <w:jc w:val="center"/>
        <w:rPr>
          <w:rFonts w:hint="eastAsia" w:ascii="黑体" w:hAnsi="黑体" w:eastAsia="黑体" w:cs="黑体"/>
          <w:color w:val="auto"/>
          <w:highlight w:val="none"/>
        </w:rPr>
      </w:pPr>
      <w:r>
        <w:rPr>
          <w:rFonts w:hint="eastAsia" w:ascii="黑体" w:hAnsi="黑体" w:eastAsia="黑体" w:cs="黑体"/>
          <w:color w:val="auto"/>
          <w:highlight w:val="none"/>
        </w:rPr>
        <w:t>编制说明</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除招标文件另有规定外，招标文件要求提交的除前述资格证明文件外的其他资格证明文件（若有）加盖投标人的单位公章后应在此项下提交。</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三、投标保证金</w:t>
      </w:r>
    </w:p>
    <w:p>
      <w:pPr>
        <w:pStyle w:val="8"/>
        <w:ind w:firstLine="480"/>
        <w:jc w:val="center"/>
        <w:rPr>
          <w:rFonts w:hint="eastAsia" w:ascii="黑体" w:hAnsi="黑体" w:eastAsia="黑体" w:cs="黑体"/>
          <w:color w:val="auto"/>
          <w:highlight w:val="none"/>
        </w:rPr>
      </w:pPr>
      <w:r>
        <w:rPr>
          <w:rFonts w:hint="eastAsia" w:ascii="黑体" w:hAnsi="黑体" w:eastAsia="黑体" w:cs="黑体"/>
          <w:color w:val="auto"/>
          <w:highlight w:val="none"/>
        </w:rPr>
        <w:t>编制说明</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1、在此项下提交的“投标保证金”材料可使用转账凭证复印件或从福建省政府采购网上公开信息系统中下载的有关原始页面的打印件。</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2、投标保证金是否已提交的认定按照招标文件第三章规定执行。</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封面格式(报价部分)</w:t>
      </w:r>
    </w:p>
    <w:p>
      <w:pPr>
        <w:pStyle w:val="8"/>
        <w:jc w:val="center"/>
        <w:outlineLvl w:val="0"/>
        <w:rPr>
          <w:rFonts w:hint="eastAsia" w:ascii="黑体" w:hAnsi="黑体" w:eastAsia="黑体" w:cs="黑体"/>
          <w:color w:val="auto"/>
          <w:highlight w:val="none"/>
        </w:rPr>
      </w:pPr>
      <w:r>
        <w:rPr>
          <w:rFonts w:hint="eastAsia" w:ascii="黑体" w:hAnsi="黑体" w:eastAsia="黑体" w:cs="黑体"/>
          <w:b/>
          <w:color w:val="auto"/>
          <w:sz w:val="48"/>
          <w:highlight w:val="none"/>
        </w:rPr>
        <w:t>福建省政府采购投标文件</w:t>
      </w:r>
    </w:p>
    <w:p>
      <w:pPr>
        <w:pStyle w:val="8"/>
        <w:jc w:val="center"/>
        <w:outlineLvl w:val="0"/>
        <w:rPr>
          <w:rFonts w:hint="eastAsia" w:ascii="黑体" w:hAnsi="黑体" w:eastAsia="黑体" w:cs="黑体"/>
          <w:color w:val="auto"/>
          <w:highlight w:val="none"/>
        </w:rPr>
      </w:pPr>
      <w:r>
        <w:rPr>
          <w:rFonts w:hint="eastAsia" w:ascii="黑体" w:hAnsi="黑体" w:eastAsia="黑体" w:cs="黑体"/>
          <w:b/>
          <w:color w:val="auto"/>
          <w:sz w:val="48"/>
          <w:highlight w:val="none"/>
        </w:rPr>
        <w:t>（报价部分）</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p>
    <w:p>
      <w:pPr>
        <w:pStyle w:val="8"/>
        <w:jc w:val="center"/>
        <w:outlineLvl w:val="1"/>
        <w:rPr>
          <w:rFonts w:hint="eastAsia" w:ascii="黑体" w:hAnsi="黑体" w:eastAsia="黑体" w:cs="黑体"/>
          <w:color w:val="auto"/>
          <w:highlight w:val="none"/>
        </w:rPr>
      </w:pPr>
      <w:r>
        <w:rPr>
          <w:rFonts w:hint="eastAsia" w:ascii="黑体" w:hAnsi="黑体" w:eastAsia="黑体" w:cs="黑体"/>
          <w:b/>
          <w:color w:val="auto"/>
          <w:sz w:val="36"/>
          <w:highlight w:val="none"/>
        </w:rPr>
        <w:t>（填写正本或副本）</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（项目名称：（由投标人填写）</w:t>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（备案编号：（由投标人填写）</w:t>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（项目编号：（由投标人填写）</w:t>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（所投采购包：（由投标人填写）</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投标人：（填写“全称”）</w:t>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（由投标人填写）年（由投标人填写）月</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索引</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一、开标一览表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二、投标分项报价表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三、招标文件规定的价格扣除证明材料（若有）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四、招标文件规定的加分证明材料（若有）</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一、开标一览表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项目编号：</w:t>
      </w:r>
      <w:r>
        <w:rPr>
          <w:rFonts w:hint="eastAsia" w:ascii="黑体" w:hAnsi="黑体" w:eastAsia="黑体" w:cs="黑体"/>
          <w:color w:val="auto"/>
          <w:highlight w:val="none"/>
          <w:u w:val="single"/>
        </w:rPr>
        <w:t>　　　　　　　　</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采购包</w:t>
            </w:r>
          </w:p>
        </w:tc>
        <w:tc>
          <w:tcPr>
            <w:tcW w:w="2076"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投标报价</w:t>
            </w:r>
          </w:p>
        </w:tc>
        <w:tc>
          <w:tcPr>
            <w:tcW w:w="2076"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投标保证金</w:t>
            </w:r>
          </w:p>
        </w:tc>
        <w:tc>
          <w:tcPr>
            <w:tcW w:w="2076"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w:t>
            </w:r>
          </w:p>
        </w:tc>
        <w:tc>
          <w:tcPr>
            <w:tcW w:w="2076"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投标总价（大写金额）：</w:t>
            </w:r>
            <w:r>
              <w:rPr>
                <w:rFonts w:hint="eastAsia" w:ascii="黑体" w:hAnsi="黑体" w:eastAsia="黑体" w:cs="黑体"/>
                <w:color w:val="auto"/>
                <w:highlight w:val="none"/>
                <w:u w:val="single"/>
              </w:rPr>
              <w:t>　　　　　　　　</w:t>
            </w:r>
          </w:p>
        </w:tc>
        <w:tc>
          <w:tcPr>
            <w:tcW w:w="2076" w:type="dxa"/>
          </w:tcPr>
          <w:p>
            <w:pPr>
              <w:rPr>
                <w:rFonts w:hint="eastAsia" w:ascii="黑体" w:hAnsi="黑体" w:eastAsia="黑体" w:cs="黑体"/>
                <w:color w:val="auto"/>
                <w:highlight w:val="none"/>
              </w:rPr>
            </w:pPr>
          </w:p>
        </w:tc>
        <w:tc>
          <w:tcPr>
            <w:tcW w:w="2076" w:type="dxa"/>
            <w:vMerge w:val="restart"/>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a.&gt;投标报价的明细：详见《投标分项报价表》。</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w:t>
            </w:r>
          </w:p>
        </w:tc>
        <w:tc>
          <w:tcPr>
            <w:tcW w:w="2076"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投标总价（大写金额）：</w:t>
            </w:r>
            <w:r>
              <w:rPr>
                <w:rFonts w:hint="eastAsia" w:ascii="黑体" w:hAnsi="黑体" w:eastAsia="黑体" w:cs="黑体"/>
                <w:color w:val="auto"/>
                <w:highlight w:val="none"/>
                <w:u w:val="single"/>
              </w:rPr>
              <w:t>　　　　　　　　</w:t>
            </w:r>
          </w:p>
        </w:tc>
        <w:tc>
          <w:tcPr>
            <w:tcW w:w="2076" w:type="dxa"/>
          </w:tcPr>
          <w:p>
            <w:pPr>
              <w:rPr>
                <w:rFonts w:hint="eastAsia" w:ascii="黑体" w:hAnsi="黑体" w:eastAsia="黑体" w:cs="黑体"/>
                <w:color w:val="auto"/>
                <w:highlight w:val="none"/>
              </w:rPr>
            </w:pPr>
          </w:p>
        </w:tc>
        <w:tc>
          <w:tcPr>
            <w:tcW w:w="2076" w:type="dxa"/>
            <w:vMerge w:val="continue"/>
          </w:tcPr>
          <w:p>
            <w:pPr>
              <w:rPr>
                <w:rFonts w:hint="eastAsia" w:ascii="黑体" w:hAnsi="黑体" w:eastAsia="黑体" w:cs="黑体"/>
                <w:color w:val="auto"/>
                <w:highlight w:val="none"/>
              </w:rPr>
            </w:pPr>
          </w:p>
        </w:tc>
      </w:tr>
    </w:tbl>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1、本表应按照下列规定填写：</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1.1投标人应按照本表格式填写所投的采购包的“投标报价”。</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1.2本表中列示的“采购包”应与《投标分项报价表》中列示的“采购包”保持一致，即：若本表中列示的“采购包”为“1”时，《投标分项报价表》中列示的“采购包”亦应为“1”，以此类推。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1.3“大写金额”指“投标报价”应用“壹、贰、叁、肆、伍、陆、柒、捌、玖、拾、佰、仟、万、亿、元、角、分、零”等进行填写。</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二、投标分项报价表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项目编号：</w:t>
      </w:r>
      <w:r>
        <w:rPr>
          <w:rFonts w:hint="eastAsia" w:ascii="黑体" w:hAnsi="黑体" w:eastAsia="黑体" w:cs="黑体"/>
          <w:color w:val="auto"/>
          <w:highlight w:val="none"/>
          <w:u w:val="single"/>
        </w:rPr>
        <w:t>　　　　　　　　</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采购包</w:t>
            </w:r>
          </w:p>
        </w:tc>
        <w:tc>
          <w:tcPr>
            <w:tcW w:w="92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品目号</w:t>
            </w:r>
          </w:p>
        </w:tc>
        <w:tc>
          <w:tcPr>
            <w:tcW w:w="92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投标标的</w:t>
            </w:r>
          </w:p>
        </w:tc>
        <w:tc>
          <w:tcPr>
            <w:tcW w:w="92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规格</w:t>
            </w:r>
          </w:p>
        </w:tc>
        <w:tc>
          <w:tcPr>
            <w:tcW w:w="92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来源地</w:t>
            </w:r>
          </w:p>
        </w:tc>
        <w:tc>
          <w:tcPr>
            <w:tcW w:w="92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单价（现场）</w:t>
            </w:r>
          </w:p>
        </w:tc>
        <w:tc>
          <w:tcPr>
            <w:tcW w:w="92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数量</w:t>
            </w:r>
          </w:p>
        </w:tc>
        <w:tc>
          <w:tcPr>
            <w:tcW w:w="92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总价（现场）</w:t>
            </w:r>
          </w:p>
        </w:tc>
        <w:tc>
          <w:tcPr>
            <w:tcW w:w="92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w:t>
            </w:r>
          </w:p>
        </w:tc>
        <w:tc>
          <w:tcPr>
            <w:tcW w:w="92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w:t>
            </w:r>
          </w:p>
        </w:tc>
        <w:tc>
          <w:tcPr>
            <w:tcW w:w="923" w:type="dxa"/>
          </w:tcPr>
          <w:p>
            <w:pPr>
              <w:rPr>
                <w:rFonts w:hint="eastAsia" w:ascii="黑体" w:hAnsi="黑体" w:eastAsia="黑体" w:cs="黑体"/>
                <w:color w:val="auto"/>
                <w:highlight w:val="none"/>
              </w:rPr>
            </w:pPr>
          </w:p>
        </w:tc>
        <w:tc>
          <w:tcPr>
            <w:tcW w:w="923" w:type="dxa"/>
          </w:tcPr>
          <w:p>
            <w:pPr>
              <w:rPr>
                <w:rFonts w:hint="eastAsia" w:ascii="黑体" w:hAnsi="黑体" w:eastAsia="黑体" w:cs="黑体"/>
                <w:color w:val="auto"/>
                <w:highlight w:val="none"/>
              </w:rPr>
            </w:pPr>
          </w:p>
        </w:tc>
        <w:tc>
          <w:tcPr>
            <w:tcW w:w="923" w:type="dxa"/>
          </w:tcPr>
          <w:p>
            <w:pPr>
              <w:rPr>
                <w:rFonts w:hint="eastAsia" w:ascii="黑体" w:hAnsi="黑体" w:eastAsia="黑体" w:cs="黑体"/>
                <w:color w:val="auto"/>
                <w:highlight w:val="none"/>
              </w:rPr>
            </w:pPr>
          </w:p>
        </w:tc>
        <w:tc>
          <w:tcPr>
            <w:tcW w:w="923" w:type="dxa"/>
          </w:tcPr>
          <w:p>
            <w:pPr>
              <w:rPr>
                <w:rFonts w:hint="eastAsia" w:ascii="黑体" w:hAnsi="黑体" w:eastAsia="黑体" w:cs="黑体"/>
                <w:color w:val="auto"/>
                <w:highlight w:val="none"/>
              </w:rPr>
            </w:pPr>
          </w:p>
        </w:tc>
        <w:tc>
          <w:tcPr>
            <w:tcW w:w="923" w:type="dxa"/>
          </w:tcPr>
          <w:p>
            <w:pPr>
              <w:rPr>
                <w:rFonts w:hint="eastAsia" w:ascii="黑体" w:hAnsi="黑体" w:eastAsia="黑体" w:cs="黑体"/>
                <w:color w:val="auto"/>
                <w:highlight w:val="none"/>
              </w:rPr>
            </w:pPr>
          </w:p>
        </w:tc>
        <w:tc>
          <w:tcPr>
            <w:tcW w:w="923" w:type="dxa"/>
          </w:tcPr>
          <w:p>
            <w:pPr>
              <w:rPr>
                <w:rFonts w:hint="eastAsia" w:ascii="黑体" w:hAnsi="黑体" w:eastAsia="黑体" w:cs="黑体"/>
                <w:color w:val="auto"/>
                <w:highlight w:val="none"/>
              </w:rPr>
            </w:pPr>
          </w:p>
        </w:tc>
        <w:tc>
          <w:tcPr>
            <w:tcW w:w="923" w:type="dxa"/>
          </w:tcPr>
          <w:p>
            <w:pPr>
              <w:rPr>
                <w:rFonts w:hint="eastAsia" w:ascii="黑体" w:hAnsi="黑体" w:eastAsia="黑体" w:cs="黑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rFonts w:hint="eastAsia" w:ascii="黑体" w:hAnsi="黑体" w:eastAsia="黑体" w:cs="黑体"/>
                <w:color w:val="auto"/>
                <w:highlight w:val="none"/>
              </w:rPr>
            </w:pPr>
          </w:p>
        </w:tc>
        <w:tc>
          <w:tcPr>
            <w:tcW w:w="92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w:t>
            </w:r>
          </w:p>
        </w:tc>
        <w:tc>
          <w:tcPr>
            <w:tcW w:w="923" w:type="dxa"/>
          </w:tcPr>
          <w:p>
            <w:pPr>
              <w:rPr>
                <w:rFonts w:hint="eastAsia" w:ascii="黑体" w:hAnsi="黑体" w:eastAsia="黑体" w:cs="黑体"/>
                <w:color w:val="auto"/>
                <w:highlight w:val="none"/>
              </w:rPr>
            </w:pPr>
          </w:p>
        </w:tc>
        <w:tc>
          <w:tcPr>
            <w:tcW w:w="923" w:type="dxa"/>
          </w:tcPr>
          <w:p>
            <w:pPr>
              <w:rPr>
                <w:rFonts w:hint="eastAsia" w:ascii="黑体" w:hAnsi="黑体" w:eastAsia="黑体" w:cs="黑体"/>
                <w:color w:val="auto"/>
                <w:highlight w:val="none"/>
              </w:rPr>
            </w:pPr>
          </w:p>
        </w:tc>
        <w:tc>
          <w:tcPr>
            <w:tcW w:w="923" w:type="dxa"/>
          </w:tcPr>
          <w:p>
            <w:pPr>
              <w:rPr>
                <w:rFonts w:hint="eastAsia" w:ascii="黑体" w:hAnsi="黑体" w:eastAsia="黑体" w:cs="黑体"/>
                <w:color w:val="auto"/>
                <w:highlight w:val="none"/>
              </w:rPr>
            </w:pPr>
          </w:p>
        </w:tc>
        <w:tc>
          <w:tcPr>
            <w:tcW w:w="923" w:type="dxa"/>
          </w:tcPr>
          <w:p>
            <w:pPr>
              <w:rPr>
                <w:rFonts w:hint="eastAsia" w:ascii="黑体" w:hAnsi="黑体" w:eastAsia="黑体" w:cs="黑体"/>
                <w:color w:val="auto"/>
                <w:highlight w:val="none"/>
              </w:rPr>
            </w:pPr>
          </w:p>
        </w:tc>
        <w:tc>
          <w:tcPr>
            <w:tcW w:w="923" w:type="dxa"/>
          </w:tcPr>
          <w:p>
            <w:pPr>
              <w:rPr>
                <w:rFonts w:hint="eastAsia" w:ascii="黑体" w:hAnsi="黑体" w:eastAsia="黑体" w:cs="黑体"/>
                <w:color w:val="auto"/>
                <w:highlight w:val="none"/>
              </w:rPr>
            </w:pPr>
          </w:p>
        </w:tc>
        <w:tc>
          <w:tcPr>
            <w:tcW w:w="923" w:type="dxa"/>
          </w:tcPr>
          <w:p>
            <w:pPr>
              <w:rPr>
                <w:rFonts w:hint="eastAsia" w:ascii="黑体" w:hAnsi="黑体" w:eastAsia="黑体" w:cs="黑体"/>
                <w:color w:val="auto"/>
                <w:highlight w:val="none"/>
              </w:rPr>
            </w:pPr>
          </w:p>
        </w:tc>
        <w:tc>
          <w:tcPr>
            <w:tcW w:w="923" w:type="dxa"/>
          </w:tcPr>
          <w:p>
            <w:pPr>
              <w:rPr>
                <w:rFonts w:hint="eastAsia" w:ascii="黑体" w:hAnsi="黑体" w:eastAsia="黑体" w:cs="黑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w:t>
            </w:r>
          </w:p>
        </w:tc>
        <w:tc>
          <w:tcPr>
            <w:tcW w:w="923" w:type="dxa"/>
          </w:tcPr>
          <w:p>
            <w:pPr>
              <w:rPr>
                <w:rFonts w:hint="eastAsia" w:ascii="黑体" w:hAnsi="黑体" w:eastAsia="黑体" w:cs="黑体"/>
                <w:color w:val="auto"/>
                <w:highlight w:val="none"/>
              </w:rPr>
            </w:pPr>
          </w:p>
        </w:tc>
        <w:tc>
          <w:tcPr>
            <w:tcW w:w="923" w:type="dxa"/>
          </w:tcPr>
          <w:p>
            <w:pPr>
              <w:rPr>
                <w:rFonts w:hint="eastAsia" w:ascii="黑体" w:hAnsi="黑体" w:eastAsia="黑体" w:cs="黑体"/>
                <w:color w:val="auto"/>
                <w:highlight w:val="none"/>
              </w:rPr>
            </w:pPr>
          </w:p>
        </w:tc>
        <w:tc>
          <w:tcPr>
            <w:tcW w:w="923" w:type="dxa"/>
          </w:tcPr>
          <w:p>
            <w:pPr>
              <w:rPr>
                <w:rFonts w:hint="eastAsia" w:ascii="黑体" w:hAnsi="黑体" w:eastAsia="黑体" w:cs="黑体"/>
                <w:color w:val="auto"/>
                <w:highlight w:val="none"/>
              </w:rPr>
            </w:pPr>
          </w:p>
        </w:tc>
        <w:tc>
          <w:tcPr>
            <w:tcW w:w="923" w:type="dxa"/>
          </w:tcPr>
          <w:p>
            <w:pPr>
              <w:rPr>
                <w:rFonts w:hint="eastAsia" w:ascii="黑体" w:hAnsi="黑体" w:eastAsia="黑体" w:cs="黑体"/>
                <w:color w:val="auto"/>
                <w:highlight w:val="none"/>
              </w:rPr>
            </w:pPr>
          </w:p>
        </w:tc>
        <w:tc>
          <w:tcPr>
            <w:tcW w:w="923" w:type="dxa"/>
          </w:tcPr>
          <w:p>
            <w:pPr>
              <w:rPr>
                <w:rFonts w:hint="eastAsia" w:ascii="黑体" w:hAnsi="黑体" w:eastAsia="黑体" w:cs="黑体"/>
                <w:color w:val="auto"/>
                <w:highlight w:val="none"/>
              </w:rPr>
            </w:pPr>
          </w:p>
        </w:tc>
        <w:tc>
          <w:tcPr>
            <w:tcW w:w="923" w:type="dxa"/>
          </w:tcPr>
          <w:p>
            <w:pPr>
              <w:rPr>
                <w:rFonts w:hint="eastAsia" w:ascii="黑体" w:hAnsi="黑体" w:eastAsia="黑体" w:cs="黑体"/>
                <w:color w:val="auto"/>
                <w:highlight w:val="none"/>
              </w:rPr>
            </w:pPr>
          </w:p>
        </w:tc>
        <w:tc>
          <w:tcPr>
            <w:tcW w:w="923" w:type="dxa"/>
          </w:tcPr>
          <w:p>
            <w:pPr>
              <w:rPr>
                <w:rFonts w:hint="eastAsia" w:ascii="黑体" w:hAnsi="黑体" w:eastAsia="黑体" w:cs="黑体"/>
                <w:color w:val="auto"/>
                <w:highlight w:val="none"/>
              </w:rPr>
            </w:pPr>
          </w:p>
        </w:tc>
        <w:tc>
          <w:tcPr>
            <w:tcW w:w="923" w:type="dxa"/>
          </w:tcPr>
          <w:p>
            <w:pPr>
              <w:rPr>
                <w:rFonts w:hint="eastAsia" w:ascii="黑体" w:hAnsi="黑体" w:eastAsia="黑体" w:cs="黑体"/>
                <w:color w:val="auto"/>
                <w:highlight w:val="none"/>
              </w:rPr>
            </w:pPr>
          </w:p>
        </w:tc>
      </w:tr>
    </w:tbl>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1、本表应按照下列规定填写：</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1.3“投标标的”为服务的：“规格”项下应填写服务提供者提供的服务标准及品牌（若有）。“来源地”应填写服务提供者的所在地。</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1.4同一采购包中，“单价（现场）”×“数量”=“总价（现场）”，全部品目号“总价（现场）”的合计金额应与《开标一览表》中相应采购包列示的“投标总价”保持一致。</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1.5若招标文件要求投标人对“备品备件价格、专用工具价格、技术服务费、安装调试费、检验培训费、运输费、保险费、税收”等进行报价的，请在本表的“备注”项下填写。</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三、招标文件规定的价格扣除证明材料（若有）</w:t>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三-1优先类节能产品、环境标志产品价格扣除证明材料（若有）</w:t>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三-1-①优先类节能产品、环境标志产品统计表（价格扣除适用，若有）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项目编号：</w:t>
      </w:r>
      <w:r>
        <w:rPr>
          <w:rFonts w:hint="eastAsia" w:ascii="黑体" w:hAnsi="黑体" w:eastAsia="黑体" w:cs="黑体"/>
          <w:color w:val="auto"/>
          <w:highlight w:val="none"/>
          <w:u w:val="single"/>
        </w:rPr>
        <w:t>　　　　　　　　</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黑体" w:hAnsi="黑体" w:eastAsia="黑体" w:cs="黑体"/>
                <w:color w:val="auto"/>
                <w:highlight w:val="none"/>
              </w:rPr>
            </w:pPr>
          </w:p>
        </w:tc>
        <w:tc>
          <w:tcPr>
            <w:tcW w:w="7122" w:type="dxa"/>
            <w:gridSpan w:val="6"/>
          </w:tcPr>
          <w:p>
            <w:pPr>
              <w:pStyle w:val="8"/>
              <w:jc w:val="center"/>
              <w:rPr>
                <w:rFonts w:hint="eastAsia" w:ascii="黑体" w:hAnsi="黑体" w:eastAsia="黑体" w:cs="黑体"/>
                <w:color w:val="auto"/>
                <w:highlight w:val="none"/>
              </w:rPr>
            </w:pPr>
            <w:r>
              <w:rPr>
                <w:rFonts w:hint="eastAsia" w:ascii="黑体" w:hAnsi="黑体" w:eastAsia="黑体" w:cs="黑体"/>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采购包</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品目号</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货物名称</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单价（现场）</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数量</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总价（现场）</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w:t>
            </w: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pPr>
              <w:rPr>
                <w:rFonts w:hint="eastAsia" w:ascii="黑体" w:hAnsi="黑体" w:eastAsia="黑体" w:cs="黑体"/>
                <w:color w:val="auto"/>
                <w:highlight w:val="none"/>
              </w:rPr>
            </w:pP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w:t>
            </w:r>
          </w:p>
          <w:p>
            <w:pPr>
              <w:pStyle w:val="8"/>
              <w:jc w:val="left"/>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备注</w:t>
            </w:r>
          </w:p>
        </w:tc>
        <w:tc>
          <w:tcPr>
            <w:tcW w:w="7122" w:type="dxa"/>
            <w:gridSpan w:val="6"/>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a.采购包内属于节能、环境标志产品的报价总金额：</w:t>
            </w:r>
            <w:r>
              <w:rPr>
                <w:rFonts w:hint="eastAsia" w:ascii="黑体" w:hAnsi="黑体" w:eastAsia="黑体" w:cs="黑体"/>
                <w:color w:val="auto"/>
                <w:highlight w:val="none"/>
                <w:u w:val="single"/>
              </w:rPr>
              <w:t>　　　　　</w:t>
            </w:r>
            <w:r>
              <w:rPr>
                <w:rFonts w:hint="eastAsia" w:ascii="黑体" w:hAnsi="黑体" w:eastAsia="黑体" w:cs="黑体"/>
                <w:color w:val="auto"/>
                <w:highlight w:val="none"/>
              </w:rPr>
              <w:t>；</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b.采购包投标总价（报价总金额）：</w:t>
            </w:r>
            <w:r>
              <w:rPr>
                <w:rFonts w:hint="eastAsia" w:ascii="黑体" w:hAnsi="黑体" w:eastAsia="黑体" w:cs="黑体"/>
                <w:color w:val="auto"/>
                <w:highlight w:val="none"/>
                <w:u w:val="single"/>
              </w:rPr>
              <w:t>　　　　　</w:t>
            </w:r>
            <w:r>
              <w:rPr>
                <w:rFonts w:hint="eastAsia" w:ascii="黑体" w:hAnsi="黑体" w:eastAsia="黑体" w:cs="黑体"/>
                <w:color w:val="auto"/>
                <w:highlight w:val="none"/>
              </w:rPr>
              <w:t>；</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c.“采购包内属于节能、环境标志产品的报价总金额”占“采购包投标总价（报价总金额）”的比例（以%列示）：</w:t>
            </w:r>
            <w:r>
              <w:rPr>
                <w:rFonts w:hint="eastAsia" w:ascii="黑体" w:hAnsi="黑体" w:eastAsia="黑体" w:cs="黑体"/>
                <w:color w:val="auto"/>
                <w:highlight w:val="none"/>
                <w:u w:val="single"/>
              </w:rPr>
              <w:t>　　　　　</w:t>
            </w:r>
            <w:r>
              <w:rPr>
                <w:rFonts w:hint="eastAsia" w:ascii="黑体" w:hAnsi="黑体" w:eastAsia="黑体" w:cs="黑体"/>
                <w:color w:val="auto"/>
                <w:highlight w:val="none"/>
              </w:rPr>
              <w:t>；</w:t>
            </w:r>
          </w:p>
          <w:p>
            <w:pPr>
              <w:pStyle w:val="8"/>
              <w:jc w:val="left"/>
              <w:rPr>
                <w:rFonts w:hint="eastAsia" w:ascii="黑体" w:hAnsi="黑体" w:eastAsia="黑体" w:cs="黑体"/>
                <w:color w:val="auto"/>
                <w:highlight w:val="none"/>
              </w:rPr>
            </w:pPr>
          </w:p>
        </w:tc>
      </w:tr>
    </w:tbl>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1、对节能、环境标志产品计算价格扣除时，只依据电子投标文件“三-1-②优先类节能产品、环境标志产品证明材料（价格扣除适用，若有）”。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2、本表以采购包为单位，不同采购包请分别填写；同一采购包请按照其品目号顺序分别填写。</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3、具体统计、计算：</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3.2计算结果若除不尽，可四舍五入保留到小数点后两位。</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3.3投标人应按照招标文件要求认真统计、计算，否则评标委员会不予认定。</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3.4若无节能、环境标志产品，不填写本表，否则，视为提供虚假材料。</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三-1-②优先类节能产品、环境标志产品证明材料（价格扣除适用，若有）</w:t>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三-2小型、微型企业产品等价格扣除证明材料（若有）</w:t>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三-2-①中小企业声明函（价格扣除适用，若有）</w:t>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中小企业声明函（货物）</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本公司（联合体）郑重声明，根据《政府采购促进中小企业发展管理办法》（财库﹝2020﹞46 号）的规定，本公司（联合体）参加</w:t>
      </w:r>
      <w:r>
        <w:rPr>
          <w:rFonts w:hint="eastAsia" w:ascii="黑体" w:hAnsi="黑体" w:eastAsia="黑体" w:cs="黑体"/>
          <w:color w:val="auto"/>
          <w:highlight w:val="none"/>
          <w:u w:val="single"/>
        </w:rPr>
        <w:t>（单位名称）</w:t>
      </w:r>
      <w:r>
        <w:rPr>
          <w:rFonts w:hint="eastAsia" w:ascii="黑体" w:hAnsi="黑体" w:eastAsia="黑体" w:cs="黑体"/>
          <w:color w:val="auto"/>
          <w:highlight w:val="none"/>
        </w:rPr>
        <w:t>的</w:t>
      </w:r>
      <w:r>
        <w:rPr>
          <w:rFonts w:hint="eastAsia" w:ascii="黑体" w:hAnsi="黑体" w:eastAsia="黑体" w:cs="黑体"/>
          <w:color w:val="auto"/>
          <w:highlight w:val="none"/>
          <w:u w:val="single"/>
        </w:rPr>
        <w:t>（项目名称）</w:t>
      </w:r>
      <w:r>
        <w:rPr>
          <w:rFonts w:hint="eastAsia" w:ascii="黑体" w:hAnsi="黑体" w:eastAsia="黑体" w:cs="黑体"/>
          <w:color w:val="auto"/>
          <w:highlight w:val="none"/>
        </w:rPr>
        <w:t>采购活动，提供的货物全部由符合政策要求的中小企业制造。相关企业（含联合体中的中小企业、签订分包意向协议的中小企业）的具体情况如下：</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w:t>
      </w:r>
      <w:r>
        <w:rPr>
          <w:rFonts w:hint="eastAsia" w:ascii="黑体" w:hAnsi="黑体" w:eastAsia="黑体" w:cs="黑体"/>
          <w:color w:val="auto"/>
          <w:highlight w:val="none"/>
          <w:u w:val="single"/>
        </w:rPr>
        <w:t xml:space="preserve"> （标的名称） </w:t>
      </w:r>
      <w:r>
        <w:rPr>
          <w:rFonts w:hint="eastAsia" w:ascii="黑体" w:hAnsi="黑体" w:eastAsia="黑体" w:cs="黑体"/>
          <w:color w:val="auto"/>
          <w:highlight w:val="none"/>
        </w:rPr>
        <w:t>，属于</w:t>
      </w:r>
      <w:r>
        <w:rPr>
          <w:rFonts w:hint="eastAsia" w:ascii="黑体" w:hAnsi="黑体" w:eastAsia="黑体" w:cs="黑体"/>
          <w:color w:val="auto"/>
          <w:highlight w:val="none"/>
          <w:u w:val="single"/>
        </w:rPr>
        <w:t>（采购文件中明确的所属行业）</w:t>
      </w:r>
      <w:r>
        <w:rPr>
          <w:rFonts w:hint="eastAsia" w:ascii="黑体" w:hAnsi="黑体" w:eastAsia="黑体" w:cs="黑体"/>
          <w:color w:val="auto"/>
          <w:highlight w:val="none"/>
        </w:rPr>
        <w:t>行业；制造商为</w:t>
      </w:r>
      <w:r>
        <w:rPr>
          <w:rFonts w:hint="eastAsia" w:ascii="黑体" w:hAnsi="黑体" w:eastAsia="黑体" w:cs="黑体"/>
          <w:color w:val="auto"/>
          <w:highlight w:val="none"/>
          <w:u w:val="single"/>
        </w:rPr>
        <w:t>（企业名称）</w:t>
      </w:r>
      <w:r>
        <w:rPr>
          <w:rFonts w:hint="eastAsia" w:ascii="黑体" w:hAnsi="黑体" w:eastAsia="黑体" w:cs="黑体"/>
          <w:color w:val="auto"/>
          <w:highlight w:val="none"/>
        </w:rPr>
        <w:t>，从业人员</w:t>
      </w:r>
      <w:r>
        <w:rPr>
          <w:rFonts w:hint="eastAsia" w:ascii="黑体" w:hAnsi="黑体" w:eastAsia="黑体" w:cs="黑体"/>
          <w:color w:val="auto"/>
          <w:highlight w:val="none"/>
          <w:u w:val="single"/>
        </w:rPr>
        <w:t>　　　　　</w:t>
      </w:r>
      <w:r>
        <w:rPr>
          <w:rFonts w:hint="eastAsia" w:ascii="黑体" w:hAnsi="黑体" w:eastAsia="黑体" w:cs="黑体"/>
          <w:color w:val="auto"/>
          <w:highlight w:val="none"/>
        </w:rPr>
        <w:t>人，营业收入为</w:t>
      </w:r>
      <w:r>
        <w:rPr>
          <w:rFonts w:hint="eastAsia" w:ascii="黑体" w:hAnsi="黑体" w:eastAsia="黑体" w:cs="黑体"/>
          <w:color w:val="auto"/>
          <w:highlight w:val="none"/>
          <w:u w:val="single"/>
        </w:rPr>
        <w:t>　　　　　</w:t>
      </w:r>
      <w:r>
        <w:rPr>
          <w:rFonts w:hint="eastAsia" w:ascii="黑体" w:hAnsi="黑体" w:eastAsia="黑体" w:cs="黑体"/>
          <w:color w:val="auto"/>
          <w:highlight w:val="none"/>
        </w:rPr>
        <w:t>万元，资产总额为</w:t>
      </w:r>
      <w:r>
        <w:rPr>
          <w:rFonts w:hint="eastAsia" w:ascii="黑体" w:hAnsi="黑体" w:eastAsia="黑体" w:cs="黑体"/>
          <w:color w:val="auto"/>
          <w:highlight w:val="none"/>
          <w:u w:val="single"/>
        </w:rPr>
        <w:t>　　　　　</w:t>
      </w:r>
      <w:r>
        <w:rPr>
          <w:rFonts w:hint="eastAsia" w:ascii="黑体" w:hAnsi="黑体" w:eastAsia="黑体" w:cs="黑体"/>
          <w:color w:val="auto"/>
          <w:highlight w:val="none"/>
        </w:rPr>
        <w:t>万元</w:t>
      </w:r>
      <w:r>
        <w:rPr>
          <w:rFonts w:hint="eastAsia" w:ascii="黑体" w:hAnsi="黑体" w:eastAsia="黑体" w:cs="黑体"/>
          <w:color w:val="auto"/>
          <w:sz w:val="21"/>
          <w:highlight w:val="none"/>
          <w:vertAlign w:val="superscript"/>
        </w:rPr>
        <w:t>1</w:t>
      </w:r>
      <w:r>
        <w:rPr>
          <w:rFonts w:hint="eastAsia" w:ascii="黑体" w:hAnsi="黑体" w:eastAsia="黑体" w:cs="黑体"/>
          <w:color w:val="auto"/>
          <w:highlight w:val="none"/>
        </w:rPr>
        <w:t>，属于</w:t>
      </w:r>
      <w:r>
        <w:rPr>
          <w:rFonts w:hint="eastAsia" w:ascii="黑体" w:hAnsi="黑体" w:eastAsia="黑体" w:cs="黑体"/>
          <w:color w:val="auto"/>
          <w:highlight w:val="none"/>
          <w:u w:val="single"/>
        </w:rPr>
        <w:t>（中型企业、小型企业、微型企业）</w:t>
      </w:r>
      <w:r>
        <w:rPr>
          <w:rFonts w:hint="eastAsia" w:ascii="黑体" w:hAnsi="黑体" w:eastAsia="黑体" w:cs="黑体"/>
          <w:color w:val="auto"/>
          <w:highlight w:val="none"/>
        </w:rPr>
        <w:t>；</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w:t>
      </w:r>
      <w:r>
        <w:rPr>
          <w:rFonts w:hint="eastAsia" w:ascii="黑体" w:hAnsi="黑体" w:eastAsia="黑体" w:cs="黑体"/>
          <w:color w:val="auto"/>
          <w:highlight w:val="none"/>
          <w:u w:val="single"/>
        </w:rPr>
        <w:t xml:space="preserve"> （标的名称） </w:t>
      </w:r>
      <w:r>
        <w:rPr>
          <w:rFonts w:hint="eastAsia" w:ascii="黑体" w:hAnsi="黑体" w:eastAsia="黑体" w:cs="黑体"/>
          <w:color w:val="auto"/>
          <w:highlight w:val="none"/>
        </w:rPr>
        <w:t>，属于</w:t>
      </w:r>
      <w:r>
        <w:rPr>
          <w:rFonts w:hint="eastAsia" w:ascii="黑体" w:hAnsi="黑体" w:eastAsia="黑体" w:cs="黑体"/>
          <w:color w:val="auto"/>
          <w:highlight w:val="none"/>
          <w:u w:val="single"/>
        </w:rPr>
        <w:t>（采购文件中明确的所属行业）</w:t>
      </w:r>
      <w:r>
        <w:rPr>
          <w:rFonts w:hint="eastAsia" w:ascii="黑体" w:hAnsi="黑体" w:eastAsia="黑体" w:cs="黑体"/>
          <w:color w:val="auto"/>
          <w:highlight w:val="none"/>
        </w:rPr>
        <w:t>行业；制造商为</w:t>
      </w:r>
      <w:r>
        <w:rPr>
          <w:rFonts w:hint="eastAsia" w:ascii="黑体" w:hAnsi="黑体" w:eastAsia="黑体" w:cs="黑体"/>
          <w:color w:val="auto"/>
          <w:highlight w:val="none"/>
          <w:u w:val="single"/>
        </w:rPr>
        <w:t>（企业名称）</w:t>
      </w:r>
      <w:r>
        <w:rPr>
          <w:rFonts w:hint="eastAsia" w:ascii="黑体" w:hAnsi="黑体" w:eastAsia="黑体" w:cs="黑体"/>
          <w:color w:val="auto"/>
          <w:highlight w:val="none"/>
        </w:rPr>
        <w:t>，从业人员</w:t>
      </w:r>
      <w:r>
        <w:rPr>
          <w:rFonts w:hint="eastAsia" w:ascii="黑体" w:hAnsi="黑体" w:eastAsia="黑体" w:cs="黑体"/>
          <w:color w:val="auto"/>
          <w:highlight w:val="none"/>
          <w:u w:val="single"/>
        </w:rPr>
        <w:t>　　　　　</w:t>
      </w:r>
      <w:r>
        <w:rPr>
          <w:rFonts w:hint="eastAsia" w:ascii="黑体" w:hAnsi="黑体" w:eastAsia="黑体" w:cs="黑体"/>
          <w:color w:val="auto"/>
          <w:highlight w:val="none"/>
        </w:rPr>
        <w:t>人，营业收入为</w:t>
      </w:r>
      <w:r>
        <w:rPr>
          <w:rFonts w:hint="eastAsia" w:ascii="黑体" w:hAnsi="黑体" w:eastAsia="黑体" w:cs="黑体"/>
          <w:color w:val="auto"/>
          <w:highlight w:val="none"/>
          <w:u w:val="single"/>
        </w:rPr>
        <w:t>　　　　　</w:t>
      </w:r>
      <w:r>
        <w:rPr>
          <w:rFonts w:hint="eastAsia" w:ascii="黑体" w:hAnsi="黑体" w:eastAsia="黑体" w:cs="黑体"/>
          <w:color w:val="auto"/>
          <w:highlight w:val="none"/>
        </w:rPr>
        <w:t>万元，资产总额为</w:t>
      </w:r>
      <w:r>
        <w:rPr>
          <w:rFonts w:hint="eastAsia" w:ascii="黑体" w:hAnsi="黑体" w:eastAsia="黑体" w:cs="黑体"/>
          <w:color w:val="auto"/>
          <w:highlight w:val="none"/>
          <w:u w:val="single"/>
        </w:rPr>
        <w:t>　　　　　</w:t>
      </w:r>
      <w:r>
        <w:rPr>
          <w:rFonts w:hint="eastAsia" w:ascii="黑体" w:hAnsi="黑体" w:eastAsia="黑体" w:cs="黑体"/>
          <w:color w:val="auto"/>
          <w:highlight w:val="none"/>
        </w:rPr>
        <w:t>万元，属于</w:t>
      </w:r>
      <w:r>
        <w:rPr>
          <w:rFonts w:hint="eastAsia" w:ascii="黑体" w:hAnsi="黑体" w:eastAsia="黑体" w:cs="黑体"/>
          <w:color w:val="auto"/>
          <w:highlight w:val="none"/>
          <w:u w:val="single"/>
        </w:rPr>
        <w:t>（中型企业、小型企业、微型企业）</w:t>
      </w:r>
      <w:r>
        <w:rPr>
          <w:rFonts w:hint="eastAsia" w:ascii="黑体" w:hAnsi="黑体" w:eastAsia="黑体" w:cs="黑体"/>
          <w:color w:val="auto"/>
          <w:highlight w:val="none"/>
        </w:rPr>
        <w:t>；</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以上企业，不属于大企业的分支机构，不存在控股股东为大企业的情形，也不存在与大企业的负责人为同一人的情形。</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本企业对上述声明内容的真实性负责。如有虚假，将依法承担相应责任。</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1、从业人员、营业收入、资产总额填报上一年度数据，无上一年度数据的新成立企业可不填报。</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中小企业声明函（工程、服务）</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本公司（联合体）郑重声明，根据《政府采购促进中小企业发展管理办法》（财库﹝2020﹞46 号）的规定，本公司（联合体）参加</w:t>
      </w:r>
      <w:r>
        <w:rPr>
          <w:rFonts w:hint="eastAsia" w:ascii="黑体" w:hAnsi="黑体" w:eastAsia="黑体" w:cs="黑体"/>
          <w:color w:val="auto"/>
          <w:highlight w:val="none"/>
          <w:u w:val="single"/>
        </w:rPr>
        <w:t>（单位名称）</w:t>
      </w:r>
      <w:r>
        <w:rPr>
          <w:rFonts w:hint="eastAsia" w:ascii="黑体" w:hAnsi="黑体" w:eastAsia="黑体" w:cs="黑体"/>
          <w:color w:val="auto"/>
          <w:highlight w:val="none"/>
        </w:rPr>
        <w:t>的</w:t>
      </w:r>
      <w:r>
        <w:rPr>
          <w:rFonts w:hint="eastAsia" w:ascii="黑体" w:hAnsi="黑体" w:eastAsia="黑体" w:cs="黑体"/>
          <w:color w:val="auto"/>
          <w:highlight w:val="none"/>
          <w:u w:val="single"/>
        </w:rPr>
        <w:t>（项目名称）</w:t>
      </w:r>
      <w:r>
        <w:rPr>
          <w:rFonts w:hint="eastAsia" w:ascii="黑体" w:hAnsi="黑体" w:eastAsia="黑体" w:cs="黑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w:t>
      </w:r>
      <w:r>
        <w:rPr>
          <w:rFonts w:hint="eastAsia" w:ascii="黑体" w:hAnsi="黑体" w:eastAsia="黑体" w:cs="黑体"/>
          <w:color w:val="auto"/>
          <w:highlight w:val="none"/>
          <w:u w:val="single"/>
        </w:rPr>
        <w:t>（标的名称）</w:t>
      </w:r>
      <w:r>
        <w:rPr>
          <w:rFonts w:hint="eastAsia" w:ascii="黑体" w:hAnsi="黑体" w:eastAsia="黑体" w:cs="黑体"/>
          <w:color w:val="auto"/>
          <w:highlight w:val="none"/>
        </w:rPr>
        <w:t>，属于</w:t>
      </w:r>
      <w:r>
        <w:rPr>
          <w:rFonts w:hint="eastAsia" w:ascii="黑体" w:hAnsi="黑体" w:eastAsia="黑体" w:cs="黑体"/>
          <w:color w:val="auto"/>
          <w:highlight w:val="none"/>
          <w:u w:val="single"/>
        </w:rPr>
        <w:t>（采购文件中明确的所属行业）</w:t>
      </w:r>
      <w:r>
        <w:rPr>
          <w:rFonts w:hint="eastAsia" w:ascii="黑体" w:hAnsi="黑体" w:eastAsia="黑体" w:cs="黑体"/>
          <w:color w:val="auto"/>
          <w:highlight w:val="none"/>
        </w:rPr>
        <w:t>；承建（承接）企业为</w:t>
      </w:r>
      <w:r>
        <w:rPr>
          <w:rFonts w:hint="eastAsia" w:ascii="黑体" w:hAnsi="黑体" w:eastAsia="黑体" w:cs="黑体"/>
          <w:color w:val="auto"/>
          <w:highlight w:val="none"/>
          <w:u w:val="single"/>
        </w:rPr>
        <w:t>（企业名称）</w:t>
      </w:r>
      <w:r>
        <w:rPr>
          <w:rFonts w:hint="eastAsia" w:ascii="黑体" w:hAnsi="黑体" w:eastAsia="黑体" w:cs="黑体"/>
          <w:color w:val="auto"/>
          <w:highlight w:val="none"/>
        </w:rPr>
        <w:t>，从业人员</w:t>
      </w:r>
      <w:r>
        <w:rPr>
          <w:rFonts w:hint="eastAsia" w:ascii="黑体" w:hAnsi="黑体" w:eastAsia="黑体" w:cs="黑体"/>
          <w:color w:val="auto"/>
          <w:highlight w:val="none"/>
          <w:u w:val="single"/>
        </w:rPr>
        <w:t>　　　　　</w:t>
      </w:r>
      <w:r>
        <w:rPr>
          <w:rFonts w:hint="eastAsia" w:ascii="黑体" w:hAnsi="黑体" w:eastAsia="黑体" w:cs="黑体"/>
          <w:color w:val="auto"/>
          <w:highlight w:val="none"/>
        </w:rPr>
        <w:t>人，营业收入为</w:t>
      </w:r>
      <w:r>
        <w:rPr>
          <w:rFonts w:hint="eastAsia" w:ascii="黑体" w:hAnsi="黑体" w:eastAsia="黑体" w:cs="黑体"/>
          <w:color w:val="auto"/>
          <w:highlight w:val="none"/>
          <w:u w:val="single"/>
        </w:rPr>
        <w:t>　　　　　</w:t>
      </w:r>
      <w:r>
        <w:rPr>
          <w:rFonts w:hint="eastAsia" w:ascii="黑体" w:hAnsi="黑体" w:eastAsia="黑体" w:cs="黑体"/>
          <w:color w:val="auto"/>
          <w:highlight w:val="none"/>
        </w:rPr>
        <w:t>万元，资产总额为</w:t>
      </w:r>
      <w:r>
        <w:rPr>
          <w:rFonts w:hint="eastAsia" w:ascii="黑体" w:hAnsi="黑体" w:eastAsia="黑体" w:cs="黑体"/>
          <w:color w:val="auto"/>
          <w:highlight w:val="none"/>
          <w:u w:val="single"/>
        </w:rPr>
        <w:t>　　　　　</w:t>
      </w:r>
      <w:r>
        <w:rPr>
          <w:rFonts w:hint="eastAsia" w:ascii="黑体" w:hAnsi="黑体" w:eastAsia="黑体" w:cs="黑体"/>
          <w:color w:val="auto"/>
          <w:highlight w:val="none"/>
        </w:rPr>
        <w:t>万元</w:t>
      </w:r>
      <w:r>
        <w:rPr>
          <w:rFonts w:hint="eastAsia" w:ascii="黑体" w:hAnsi="黑体" w:eastAsia="黑体" w:cs="黑体"/>
          <w:color w:val="auto"/>
          <w:sz w:val="21"/>
          <w:highlight w:val="none"/>
          <w:vertAlign w:val="superscript"/>
        </w:rPr>
        <w:t>1</w:t>
      </w:r>
      <w:r>
        <w:rPr>
          <w:rFonts w:hint="eastAsia" w:ascii="黑体" w:hAnsi="黑体" w:eastAsia="黑体" w:cs="黑体"/>
          <w:color w:val="auto"/>
          <w:highlight w:val="none"/>
        </w:rPr>
        <w:t>，属于</w:t>
      </w:r>
      <w:r>
        <w:rPr>
          <w:rFonts w:hint="eastAsia" w:ascii="黑体" w:hAnsi="黑体" w:eastAsia="黑体" w:cs="黑体"/>
          <w:color w:val="auto"/>
          <w:highlight w:val="none"/>
          <w:u w:val="single"/>
        </w:rPr>
        <w:t>（中型企业、小型企业、微型企业）</w:t>
      </w:r>
      <w:r>
        <w:rPr>
          <w:rFonts w:hint="eastAsia" w:ascii="黑体" w:hAnsi="黑体" w:eastAsia="黑体" w:cs="黑体"/>
          <w:color w:val="auto"/>
          <w:highlight w:val="none"/>
        </w:rPr>
        <w:t>；</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w:t>
      </w:r>
      <w:r>
        <w:rPr>
          <w:rFonts w:hint="eastAsia" w:ascii="黑体" w:hAnsi="黑体" w:eastAsia="黑体" w:cs="黑体"/>
          <w:color w:val="auto"/>
          <w:highlight w:val="none"/>
          <w:u w:val="single"/>
        </w:rPr>
        <w:t>（标的名称）</w:t>
      </w:r>
      <w:r>
        <w:rPr>
          <w:rFonts w:hint="eastAsia" w:ascii="黑体" w:hAnsi="黑体" w:eastAsia="黑体" w:cs="黑体"/>
          <w:color w:val="auto"/>
          <w:highlight w:val="none"/>
        </w:rPr>
        <w:t>，属于</w:t>
      </w:r>
      <w:r>
        <w:rPr>
          <w:rFonts w:hint="eastAsia" w:ascii="黑体" w:hAnsi="黑体" w:eastAsia="黑体" w:cs="黑体"/>
          <w:color w:val="auto"/>
          <w:highlight w:val="none"/>
          <w:u w:val="single"/>
        </w:rPr>
        <w:t>（采购文件中明确的所属行业）</w:t>
      </w:r>
      <w:r>
        <w:rPr>
          <w:rFonts w:hint="eastAsia" w:ascii="黑体" w:hAnsi="黑体" w:eastAsia="黑体" w:cs="黑体"/>
          <w:color w:val="auto"/>
          <w:highlight w:val="none"/>
        </w:rPr>
        <w:t>；承建（承接）企业为</w:t>
      </w:r>
      <w:r>
        <w:rPr>
          <w:rFonts w:hint="eastAsia" w:ascii="黑体" w:hAnsi="黑体" w:eastAsia="黑体" w:cs="黑体"/>
          <w:color w:val="auto"/>
          <w:highlight w:val="none"/>
          <w:u w:val="single"/>
        </w:rPr>
        <w:t>（企业名称）</w:t>
      </w:r>
      <w:r>
        <w:rPr>
          <w:rFonts w:hint="eastAsia" w:ascii="黑体" w:hAnsi="黑体" w:eastAsia="黑体" w:cs="黑体"/>
          <w:color w:val="auto"/>
          <w:highlight w:val="none"/>
        </w:rPr>
        <w:t>，从业人员</w:t>
      </w:r>
      <w:r>
        <w:rPr>
          <w:rFonts w:hint="eastAsia" w:ascii="黑体" w:hAnsi="黑体" w:eastAsia="黑体" w:cs="黑体"/>
          <w:color w:val="auto"/>
          <w:highlight w:val="none"/>
          <w:u w:val="single"/>
        </w:rPr>
        <w:t>　　　　　</w:t>
      </w:r>
      <w:r>
        <w:rPr>
          <w:rFonts w:hint="eastAsia" w:ascii="黑体" w:hAnsi="黑体" w:eastAsia="黑体" w:cs="黑体"/>
          <w:color w:val="auto"/>
          <w:highlight w:val="none"/>
        </w:rPr>
        <w:t>人，营业收入为</w:t>
      </w:r>
      <w:r>
        <w:rPr>
          <w:rFonts w:hint="eastAsia" w:ascii="黑体" w:hAnsi="黑体" w:eastAsia="黑体" w:cs="黑体"/>
          <w:color w:val="auto"/>
          <w:highlight w:val="none"/>
          <w:u w:val="single"/>
        </w:rPr>
        <w:t>　　　　　</w:t>
      </w:r>
      <w:r>
        <w:rPr>
          <w:rFonts w:hint="eastAsia" w:ascii="黑体" w:hAnsi="黑体" w:eastAsia="黑体" w:cs="黑体"/>
          <w:color w:val="auto"/>
          <w:highlight w:val="none"/>
        </w:rPr>
        <w:t>万元，资产总额为</w:t>
      </w:r>
      <w:r>
        <w:rPr>
          <w:rFonts w:hint="eastAsia" w:ascii="黑体" w:hAnsi="黑体" w:eastAsia="黑体" w:cs="黑体"/>
          <w:color w:val="auto"/>
          <w:highlight w:val="none"/>
          <w:u w:val="single"/>
        </w:rPr>
        <w:t>　　　　　</w:t>
      </w:r>
      <w:r>
        <w:rPr>
          <w:rFonts w:hint="eastAsia" w:ascii="黑体" w:hAnsi="黑体" w:eastAsia="黑体" w:cs="黑体"/>
          <w:color w:val="auto"/>
          <w:highlight w:val="none"/>
        </w:rPr>
        <w:t>万元，属于</w:t>
      </w:r>
      <w:r>
        <w:rPr>
          <w:rFonts w:hint="eastAsia" w:ascii="黑体" w:hAnsi="黑体" w:eastAsia="黑体" w:cs="黑体"/>
          <w:color w:val="auto"/>
          <w:highlight w:val="none"/>
          <w:u w:val="single"/>
        </w:rPr>
        <w:t>（中型企业、小型企业、微型企业）</w:t>
      </w:r>
      <w:r>
        <w:rPr>
          <w:rFonts w:hint="eastAsia" w:ascii="黑体" w:hAnsi="黑体" w:eastAsia="黑体" w:cs="黑体"/>
          <w:color w:val="auto"/>
          <w:highlight w:val="none"/>
        </w:rPr>
        <w:t>；</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以上企业，不属于大企业的分支机构，不存在控股股东为大企业的情形，也不存在与大企业的负责人为同一人的情形。</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本企业对上述声明内容的真实性负责。如有虚假，将依法承担相应责任。</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1、从业人员、营业收入、资产总额填报上一年度数据，无上一年度数据的新成立企业可不填报。</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三-2-②小型、微型企业等证明材料（价格扣除适用，若有）</w:t>
      </w:r>
    </w:p>
    <w:p>
      <w:pPr>
        <w:pStyle w:val="8"/>
        <w:ind w:firstLine="480"/>
        <w:jc w:val="center"/>
        <w:rPr>
          <w:rFonts w:hint="eastAsia" w:ascii="黑体" w:hAnsi="黑体" w:eastAsia="黑体" w:cs="黑体"/>
          <w:color w:val="auto"/>
          <w:highlight w:val="none"/>
        </w:rPr>
      </w:pPr>
      <w:r>
        <w:rPr>
          <w:rFonts w:hint="eastAsia" w:ascii="黑体" w:hAnsi="黑体" w:eastAsia="黑体" w:cs="黑体"/>
          <w:color w:val="auto"/>
          <w:highlight w:val="none"/>
        </w:rPr>
        <w:t>编制说明</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1、投标人应按照招标文件要求提供相应证明材料，证明材料应与《中小企业声明函》的内容相一致，否则视为《中小企业声明函》内容不真实。</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2、投标人为监狱企业的，根据其提供的由省级以上监狱管理局、戒毒管理局（含新疆生产建设兵团）出具的属于监狱企业的证明文件进行认定，监狱企业视同小型、微型企业。</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附：</w:t>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残疾人福利性单位声明函（价格扣除适用，若有）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 ）由本投标人承建的（填写“所投采购包、品目号”）工程</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 ）由本投标人承接的（填写“所投采购包、品目号”）服务；</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本投标人对上述声明的真实性负责。如有虚假，将依法承担相应责任。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备注：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1、请投标人按照实际情况编制填写本声明函，并在相应的（）中打“√”。</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2、若《残疾人福利性单位声明函》内容不真实，视为提供虚假材料。</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附：</w:t>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监狱企业证明材料</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三-3招标文件规定的其他价格扣除证明材料（若有）</w:t>
      </w:r>
    </w:p>
    <w:p>
      <w:pPr>
        <w:pStyle w:val="8"/>
        <w:ind w:firstLine="480"/>
        <w:jc w:val="center"/>
        <w:rPr>
          <w:rFonts w:hint="eastAsia" w:ascii="黑体" w:hAnsi="黑体" w:eastAsia="黑体" w:cs="黑体"/>
          <w:color w:val="auto"/>
          <w:highlight w:val="none"/>
        </w:rPr>
      </w:pPr>
      <w:r>
        <w:rPr>
          <w:rFonts w:hint="eastAsia" w:ascii="黑体" w:hAnsi="黑体" w:eastAsia="黑体" w:cs="黑体"/>
          <w:color w:val="auto"/>
          <w:highlight w:val="none"/>
        </w:rPr>
        <w:t>编制说明</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四、招标文件规定的加分证明材料（若有）</w:t>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四-1优先类节能产品、环境标志产品加分证明材料（若有）</w:t>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四-1-①优先类节能产品、环境标志产品统计表（加分适用，若有）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项目编号：</w:t>
      </w:r>
      <w:r>
        <w:rPr>
          <w:rFonts w:hint="eastAsia" w:ascii="黑体" w:hAnsi="黑体" w:eastAsia="黑体" w:cs="黑体"/>
          <w:color w:val="auto"/>
          <w:highlight w:val="none"/>
          <w:u w:val="single"/>
        </w:rPr>
        <w:t>　　　　　　　　</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黑体" w:hAnsi="黑体" w:eastAsia="黑体" w:cs="黑体"/>
                <w:color w:val="auto"/>
                <w:highlight w:val="none"/>
              </w:rPr>
            </w:pPr>
          </w:p>
        </w:tc>
        <w:tc>
          <w:tcPr>
            <w:tcW w:w="7122" w:type="dxa"/>
            <w:gridSpan w:val="6"/>
          </w:tcPr>
          <w:p>
            <w:pPr>
              <w:pStyle w:val="8"/>
              <w:jc w:val="center"/>
              <w:rPr>
                <w:rFonts w:hint="eastAsia" w:ascii="黑体" w:hAnsi="黑体" w:eastAsia="黑体" w:cs="黑体"/>
                <w:color w:val="auto"/>
                <w:highlight w:val="none"/>
              </w:rPr>
            </w:pPr>
            <w:r>
              <w:rPr>
                <w:rFonts w:hint="eastAsia" w:ascii="黑体" w:hAnsi="黑体" w:eastAsia="黑体" w:cs="黑体"/>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采购包</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品目号</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货物名称</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单价（现场）</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数量</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总价（现场）</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w:t>
            </w: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pPr>
              <w:rPr>
                <w:rFonts w:hint="eastAsia" w:ascii="黑体" w:hAnsi="黑体" w:eastAsia="黑体" w:cs="黑体"/>
                <w:color w:val="auto"/>
                <w:highlight w:val="none"/>
              </w:rPr>
            </w:pP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w:t>
            </w: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r>
    </w:tbl>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1、对节能、环境标志产品计算价格扣除时，只依据电子投标文件“四-1-②优先类节能产品、环境标志产品加分证明材料（加分适用，若有）”。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2、本表以采购包为单位，不同采购包请分别填写；同一采购包请按照其品目号顺序分别填写。</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3、具体统计、计算：</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3.2计算结果若除不尽，可四舍五入保留到小数点后两位。</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3.3投标人应按照招标文件要求认真统计、计算，否则评标委员会不予认定。</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3.4若无节能、环境标志产品，不填写本表，否则，视为提供虚假材料。</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四-1-②优先类节能产品、环境标志产品证明材料（加分适用，若有）</w:t>
      </w:r>
    </w:p>
    <w:p>
      <w:pPr>
        <w:pStyle w:val="8"/>
        <w:jc w:val="center"/>
        <w:outlineLvl w:val="3"/>
        <w:rPr>
          <w:rFonts w:hint="eastAsia" w:ascii="黑体" w:hAnsi="黑体" w:eastAsia="黑体" w:cs="黑体"/>
          <w:color w:val="auto"/>
          <w:highlight w:val="none"/>
        </w:rPr>
      </w:pPr>
      <w:r>
        <w:rPr>
          <w:rFonts w:hint="eastAsia" w:ascii="黑体" w:hAnsi="黑体" w:eastAsia="黑体" w:cs="黑体"/>
          <w:b/>
          <w:color w:val="auto"/>
          <w:sz w:val="24"/>
          <w:highlight w:val="none"/>
        </w:rPr>
        <w:t xml:space="preserve"> 四-2招标文件规定的其他加分证明材料（若有）</w:t>
      </w:r>
    </w:p>
    <w:p>
      <w:pPr>
        <w:pStyle w:val="8"/>
        <w:ind w:firstLine="480"/>
        <w:jc w:val="center"/>
        <w:rPr>
          <w:rFonts w:hint="eastAsia" w:ascii="黑体" w:hAnsi="黑体" w:eastAsia="黑体" w:cs="黑体"/>
          <w:color w:val="auto"/>
          <w:highlight w:val="none"/>
        </w:rPr>
      </w:pPr>
      <w:r>
        <w:rPr>
          <w:rFonts w:hint="eastAsia" w:ascii="黑体" w:hAnsi="黑体" w:eastAsia="黑体" w:cs="黑体"/>
          <w:color w:val="auto"/>
          <w:highlight w:val="none"/>
        </w:rPr>
        <w:t>编制说明</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若投标人可享受招标文件规定的除“优先类节能产品、环境标志产品加分”外的其他加分优惠，则投标人应按照招标文件要求提供相应证明材料。</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封面格式(技术商务部分)</w:t>
      </w:r>
    </w:p>
    <w:p>
      <w:pPr>
        <w:pStyle w:val="8"/>
        <w:jc w:val="center"/>
        <w:outlineLvl w:val="0"/>
        <w:rPr>
          <w:rFonts w:hint="eastAsia" w:ascii="黑体" w:hAnsi="黑体" w:eastAsia="黑体" w:cs="黑体"/>
          <w:color w:val="auto"/>
          <w:highlight w:val="none"/>
        </w:rPr>
      </w:pPr>
      <w:r>
        <w:rPr>
          <w:rFonts w:hint="eastAsia" w:ascii="黑体" w:hAnsi="黑体" w:eastAsia="黑体" w:cs="黑体"/>
          <w:b/>
          <w:color w:val="auto"/>
          <w:sz w:val="48"/>
          <w:highlight w:val="none"/>
        </w:rPr>
        <w:t>福建省政府采购投标文件</w:t>
      </w:r>
    </w:p>
    <w:p>
      <w:pPr>
        <w:pStyle w:val="8"/>
        <w:jc w:val="center"/>
        <w:outlineLvl w:val="0"/>
        <w:rPr>
          <w:rFonts w:hint="eastAsia" w:ascii="黑体" w:hAnsi="黑体" w:eastAsia="黑体" w:cs="黑体"/>
          <w:color w:val="auto"/>
          <w:highlight w:val="none"/>
        </w:rPr>
      </w:pPr>
      <w:r>
        <w:rPr>
          <w:rFonts w:hint="eastAsia" w:ascii="黑体" w:hAnsi="黑体" w:eastAsia="黑体" w:cs="黑体"/>
          <w:b/>
          <w:color w:val="auto"/>
          <w:sz w:val="48"/>
          <w:highlight w:val="none"/>
        </w:rPr>
        <w:t>（技术商务部分）</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p>
    <w:p>
      <w:pPr>
        <w:pStyle w:val="8"/>
        <w:jc w:val="center"/>
        <w:outlineLvl w:val="1"/>
        <w:rPr>
          <w:rFonts w:hint="eastAsia" w:ascii="黑体" w:hAnsi="黑体" w:eastAsia="黑体" w:cs="黑体"/>
          <w:color w:val="auto"/>
          <w:highlight w:val="none"/>
        </w:rPr>
      </w:pPr>
      <w:r>
        <w:rPr>
          <w:rFonts w:hint="eastAsia" w:ascii="黑体" w:hAnsi="黑体" w:eastAsia="黑体" w:cs="黑体"/>
          <w:b/>
          <w:color w:val="auto"/>
          <w:sz w:val="36"/>
          <w:highlight w:val="none"/>
        </w:rPr>
        <w:t>（填写正本或副本）</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（项目名称：（由投标人填写）</w:t>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（备案编号：（由投标人填写）</w:t>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（项目编号：（由投标人填写）</w:t>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（所投采购包：（由投标人填写）</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textWrapping"/>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投标人：（填写“全称”）</w:t>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（由投标人填写）年（由投标人填写）月</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索引</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一、标的说明一览表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二、技术和服务要求响应表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三、商务条件响应表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四、投标人提交的其他资料（若有）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技术商务部分中不得出现报价部分的全部或部分的投标报价信息（或组成资料），否则符合性审查不合格。</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一、标的说明一览表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项目编号：</w:t>
      </w:r>
      <w:r>
        <w:rPr>
          <w:rFonts w:hint="eastAsia" w:ascii="黑体" w:hAnsi="黑体" w:eastAsia="黑体" w:cs="黑体"/>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采购包</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品目号</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投标标的</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数量</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规格</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来源地</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w:t>
            </w: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w:t>
            </w: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rPr>
                <w:rFonts w:hint="eastAsia" w:ascii="黑体" w:hAnsi="黑体" w:eastAsia="黑体" w:cs="黑体"/>
                <w:color w:val="auto"/>
                <w:highlight w:val="none"/>
              </w:rPr>
            </w:pPr>
          </w:p>
        </w:tc>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w:t>
            </w: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w:t>
            </w: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c>
          <w:tcPr>
            <w:tcW w:w="1187" w:type="dxa"/>
          </w:tcPr>
          <w:p>
            <w:pPr>
              <w:rPr>
                <w:rFonts w:hint="eastAsia" w:ascii="黑体" w:hAnsi="黑体" w:eastAsia="黑体" w:cs="黑体"/>
                <w:color w:val="auto"/>
                <w:highlight w:val="none"/>
              </w:rPr>
            </w:pPr>
          </w:p>
        </w:tc>
      </w:tr>
    </w:tbl>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1、本表应按照下列规定填写：</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1.1“采购包”、“品目号”、“投标标的”及“数量”应与招标文件《采购标的一览表》中的有关内容（“采购包”、“品目号”、“采购标的”及“数量”）保持一致。</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3、电子投标文件中涉及“投标标的”、“数量”、“规格”、“来源地”的内容若不一致，应以本表为准。</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二、技术和服务要求响应表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项目编号：</w:t>
      </w:r>
      <w:r>
        <w:rPr>
          <w:rFonts w:hint="eastAsia" w:ascii="黑体" w:hAnsi="黑体" w:eastAsia="黑体" w:cs="黑体"/>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采购包</w:t>
            </w:r>
          </w:p>
        </w:tc>
        <w:tc>
          <w:tcPr>
            <w:tcW w:w="1661"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品目号</w:t>
            </w:r>
          </w:p>
        </w:tc>
        <w:tc>
          <w:tcPr>
            <w:tcW w:w="1661"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技术和服务要求</w:t>
            </w:r>
          </w:p>
        </w:tc>
        <w:tc>
          <w:tcPr>
            <w:tcW w:w="1661"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投标响应</w:t>
            </w:r>
          </w:p>
        </w:tc>
        <w:tc>
          <w:tcPr>
            <w:tcW w:w="1661"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w:t>
            </w:r>
          </w:p>
        </w:tc>
        <w:tc>
          <w:tcPr>
            <w:tcW w:w="1661"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w:t>
            </w:r>
          </w:p>
        </w:tc>
        <w:tc>
          <w:tcPr>
            <w:tcW w:w="1661" w:type="dxa"/>
          </w:tcPr>
          <w:p>
            <w:pPr>
              <w:rPr>
                <w:rFonts w:hint="eastAsia" w:ascii="黑体" w:hAnsi="黑体" w:eastAsia="黑体" w:cs="黑体"/>
                <w:color w:val="auto"/>
                <w:highlight w:val="none"/>
              </w:rPr>
            </w:pPr>
          </w:p>
        </w:tc>
        <w:tc>
          <w:tcPr>
            <w:tcW w:w="1661" w:type="dxa"/>
          </w:tcPr>
          <w:p>
            <w:pPr>
              <w:rPr>
                <w:rFonts w:hint="eastAsia" w:ascii="黑体" w:hAnsi="黑体" w:eastAsia="黑体" w:cs="黑体"/>
                <w:color w:val="auto"/>
                <w:highlight w:val="none"/>
              </w:rPr>
            </w:pPr>
          </w:p>
        </w:tc>
        <w:tc>
          <w:tcPr>
            <w:tcW w:w="1661" w:type="dxa"/>
          </w:tcPr>
          <w:p>
            <w:pPr>
              <w:rPr>
                <w:rFonts w:hint="eastAsia" w:ascii="黑体" w:hAnsi="黑体" w:eastAsia="黑体" w:cs="黑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黑体" w:hAnsi="黑体" w:eastAsia="黑体" w:cs="黑体"/>
                <w:color w:val="auto"/>
                <w:highlight w:val="none"/>
              </w:rPr>
            </w:pPr>
          </w:p>
        </w:tc>
        <w:tc>
          <w:tcPr>
            <w:tcW w:w="1661"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w:t>
            </w:r>
          </w:p>
        </w:tc>
        <w:tc>
          <w:tcPr>
            <w:tcW w:w="1661" w:type="dxa"/>
          </w:tcPr>
          <w:p>
            <w:pPr>
              <w:rPr>
                <w:rFonts w:hint="eastAsia" w:ascii="黑体" w:hAnsi="黑体" w:eastAsia="黑体" w:cs="黑体"/>
                <w:color w:val="auto"/>
                <w:highlight w:val="none"/>
              </w:rPr>
            </w:pPr>
          </w:p>
        </w:tc>
        <w:tc>
          <w:tcPr>
            <w:tcW w:w="1661" w:type="dxa"/>
          </w:tcPr>
          <w:p>
            <w:pPr>
              <w:rPr>
                <w:rFonts w:hint="eastAsia" w:ascii="黑体" w:hAnsi="黑体" w:eastAsia="黑体" w:cs="黑体"/>
                <w:color w:val="auto"/>
                <w:highlight w:val="none"/>
              </w:rPr>
            </w:pPr>
          </w:p>
        </w:tc>
        <w:tc>
          <w:tcPr>
            <w:tcW w:w="1661" w:type="dxa"/>
          </w:tcPr>
          <w:p>
            <w:pPr>
              <w:rPr>
                <w:rFonts w:hint="eastAsia" w:ascii="黑体" w:hAnsi="黑体" w:eastAsia="黑体" w:cs="黑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w:t>
            </w:r>
          </w:p>
        </w:tc>
        <w:tc>
          <w:tcPr>
            <w:tcW w:w="1661" w:type="dxa"/>
          </w:tcPr>
          <w:p>
            <w:pPr>
              <w:rPr>
                <w:rFonts w:hint="eastAsia" w:ascii="黑体" w:hAnsi="黑体" w:eastAsia="黑体" w:cs="黑体"/>
                <w:color w:val="auto"/>
                <w:highlight w:val="none"/>
              </w:rPr>
            </w:pPr>
          </w:p>
        </w:tc>
        <w:tc>
          <w:tcPr>
            <w:tcW w:w="1661" w:type="dxa"/>
          </w:tcPr>
          <w:p>
            <w:pPr>
              <w:rPr>
                <w:rFonts w:hint="eastAsia" w:ascii="黑体" w:hAnsi="黑体" w:eastAsia="黑体" w:cs="黑体"/>
                <w:color w:val="auto"/>
                <w:highlight w:val="none"/>
              </w:rPr>
            </w:pPr>
          </w:p>
        </w:tc>
        <w:tc>
          <w:tcPr>
            <w:tcW w:w="1661" w:type="dxa"/>
          </w:tcPr>
          <w:p>
            <w:pPr>
              <w:rPr>
                <w:rFonts w:hint="eastAsia" w:ascii="黑体" w:hAnsi="黑体" w:eastAsia="黑体" w:cs="黑体"/>
                <w:color w:val="auto"/>
                <w:highlight w:val="none"/>
              </w:rPr>
            </w:pPr>
          </w:p>
        </w:tc>
        <w:tc>
          <w:tcPr>
            <w:tcW w:w="1661" w:type="dxa"/>
          </w:tcPr>
          <w:p>
            <w:pPr>
              <w:rPr>
                <w:rFonts w:hint="eastAsia" w:ascii="黑体" w:hAnsi="黑体" w:eastAsia="黑体" w:cs="黑体"/>
                <w:color w:val="auto"/>
                <w:highlight w:val="none"/>
              </w:rPr>
            </w:pPr>
          </w:p>
        </w:tc>
      </w:tr>
    </w:tbl>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1、本表应按照下列规定填写：</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1.1“技术和服务要求”项下填写的内容应与招标文件第五章“技术和服务要求”的内容保持一致。</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1.3“是否偏离及说明”项下应按下列规定填写：优于的，填写“正偏离”；符合的，填写“无偏离”；低于的，填写“负偏离”。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三、商务条件响应表</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项目编号：</w:t>
      </w:r>
      <w:r>
        <w:rPr>
          <w:rFonts w:hint="eastAsia" w:ascii="黑体" w:hAnsi="黑体" w:eastAsia="黑体" w:cs="黑体"/>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采购包</w:t>
            </w:r>
          </w:p>
        </w:tc>
        <w:tc>
          <w:tcPr>
            <w:tcW w:w="1661"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品目号</w:t>
            </w:r>
          </w:p>
        </w:tc>
        <w:tc>
          <w:tcPr>
            <w:tcW w:w="1661"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商务条件</w:t>
            </w:r>
          </w:p>
        </w:tc>
        <w:tc>
          <w:tcPr>
            <w:tcW w:w="1661"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投标响应</w:t>
            </w:r>
          </w:p>
        </w:tc>
        <w:tc>
          <w:tcPr>
            <w:tcW w:w="1661"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w:t>
            </w:r>
          </w:p>
        </w:tc>
        <w:tc>
          <w:tcPr>
            <w:tcW w:w="1661"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*-1</w:t>
            </w:r>
          </w:p>
        </w:tc>
        <w:tc>
          <w:tcPr>
            <w:tcW w:w="1661" w:type="dxa"/>
          </w:tcPr>
          <w:p>
            <w:pPr>
              <w:rPr>
                <w:rFonts w:hint="eastAsia" w:ascii="黑体" w:hAnsi="黑体" w:eastAsia="黑体" w:cs="黑体"/>
                <w:color w:val="auto"/>
                <w:highlight w:val="none"/>
              </w:rPr>
            </w:pPr>
          </w:p>
        </w:tc>
        <w:tc>
          <w:tcPr>
            <w:tcW w:w="1661" w:type="dxa"/>
          </w:tcPr>
          <w:p>
            <w:pPr>
              <w:rPr>
                <w:rFonts w:hint="eastAsia" w:ascii="黑体" w:hAnsi="黑体" w:eastAsia="黑体" w:cs="黑体"/>
                <w:color w:val="auto"/>
                <w:highlight w:val="none"/>
              </w:rPr>
            </w:pPr>
          </w:p>
        </w:tc>
        <w:tc>
          <w:tcPr>
            <w:tcW w:w="1661" w:type="dxa"/>
          </w:tcPr>
          <w:p>
            <w:pPr>
              <w:rPr>
                <w:rFonts w:hint="eastAsia" w:ascii="黑体" w:hAnsi="黑体" w:eastAsia="黑体" w:cs="黑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黑体" w:hAnsi="黑体" w:eastAsia="黑体" w:cs="黑体"/>
                <w:color w:val="auto"/>
                <w:highlight w:val="none"/>
              </w:rPr>
            </w:pPr>
          </w:p>
        </w:tc>
        <w:tc>
          <w:tcPr>
            <w:tcW w:w="1661"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w:t>
            </w:r>
          </w:p>
        </w:tc>
        <w:tc>
          <w:tcPr>
            <w:tcW w:w="1661" w:type="dxa"/>
          </w:tcPr>
          <w:p>
            <w:pPr>
              <w:rPr>
                <w:rFonts w:hint="eastAsia" w:ascii="黑体" w:hAnsi="黑体" w:eastAsia="黑体" w:cs="黑体"/>
                <w:color w:val="auto"/>
                <w:highlight w:val="none"/>
              </w:rPr>
            </w:pPr>
          </w:p>
        </w:tc>
        <w:tc>
          <w:tcPr>
            <w:tcW w:w="1661" w:type="dxa"/>
          </w:tcPr>
          <w:p>
            <w:pPr>
              <w:rPr>
                <w:rFonts w:hint="eastAsia" w:ascii="黑体" w:hAnsi="黑体" w:eastAsia="黑体" w:cs="黑体"/>
                <w:color w:val="auto"/>
                <w:highlight w:val="none"/>
              </w:rPr>
            </w:pPr>
          </w:p>
        </w:tc>
        <w:tc>
          <w:tcPr>
            <w:tcW w:w="1661" w:type="dxa"/>
          </w:tcPr>
          <w:p>
            <w:pPr>
              <w:rPr>
                <w:rFonts w:hint="eastAsia" w:ascii="黑体" w:hAnsi="黑体" w:eastAsia="黑体" w:cs="黑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8"/>
              <w:jc w:val="left"/>
              <w:rPr>
                <w:rFonts w:hint="eastAsia" w:ascii="黑体" w:hAnsi="黑体" w:eastAsia="黑体" w:cs="黑体"/>
                <w:color w:val="auto"/>
                <w:highlight w:val="none"/>
              </w:rPr>
            </w:pPr>
            <w:r>
              <w:rPr>
                <w:rFonts w:hint="eastAsia" w:ascii="黑体" w:hAnsi="黑体" w:eastAsia="黑体" w:cs="黑体"/>
                <w:color w:val="auto"/>
                <w:highlight w:val="none"/>
              </w:rPr>
              <w:t>…</w:t>
            </w:r>
          </w:p>
        </w:tc>
        <w:tc>
          <w:tcPr>
            <w:tcW w:w="1661" w:type="dxa"/>
          </w:tcPr>
          <w:p>
            <w:pPr>
              <w:rPr>
                <w:rFonts w:hint="eastAsia" w:ascii="黑体" w:hAnsi="黑体" w:eastAsia="黑体" w:cs="黑体"/>
                <w:color w:val="auto"/>
                <w:highlight w:val="none"/>
              </w:rPr>
            </w:pPr>
          </w:p>
        </w:tc>
        <w:tc>
          <w:tcPr>
            <w:tcW w:w="1661" w:type="dxa"/>
          </w:tcPr>
          <w:p>
            <w:pPr>
              <w:rPr>
                <w:rFonts w:hint="eastAsia" w:ascii="黑体" w:hAnsi="黑体" w:eastAsia="黑体" w:cs="黑体"/>
                <w:color w:val="auto"/>
                <w:highlight w:val="none"/>
              </w:rPr>
            </w:pPr>
          </w:p>
        </w:tc>
        <w:tc>
          <w:tcPr>
            <w:tcW w:w="1661" w:type="dxa"/>
          </w:tcPr>
          <w:p>
            <w:pPr>
              <w:rPr>
                <w:rFonts w:hint="eastAsia" w:ascii="黑体" w:hAnsi="黑体" w:eastAsia="黑体" w:cs="黑体"/>
                <w:color w:val="auto"/>
                <w:highlight w:val="none"/>
              </w:rPr>
            </w:pPr>
          </w:p>
        </w:tc>
        <w:tc>
          <w:tcPr>
            <w:tcW w:w="1661" w:type="dxa"/>
          </w:tcPr>
          <w:p>
            <w:pPr>
              <w:rPr>
                <w:rFonts w:hint="eastAsia" w:ascii="黑体" w:hAnsi="黑体" w:eastAsia="黑体" w:cs="黑体"/>
                <w:color w:val="auto"/>
                <w:highlight w:val="none"/>
              </w:rPr>
            </w:pPr>
          </w:p>
        </w:tc>
      </w:tr>
    </w:tbl>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※注意：</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1、本表应按照下列规定填写：</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1.1“商务条件”项下填写的内容应与招标文件第五章“商务条件”的内容保持一致。</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1.2“投标响应”项下应填写具体的响应内容并与“商务条件”项下填写的内容逐项对应；对“商务条件”项下涉及“≥或＞”、“≤或＜”及某个区间值范围内的内容，应填写具体的数值。</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1.3“是否偏离及说明”项下应按下列规定填写：优于的，填写“正偏离”；符合的，填写“无偏离”；低于的，填写“负偏离”。</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投标人：</w:t>
      </w:r>
      <w:r>
        <w:rPr>
          <w:rFonts w:hint="eastAsia" w:ascii="黑体" w:hAnsi="黑体" w:eastAsia="黑体" w:cs="黑体"/>
          <w:color w:val="auto"/>
          <w:highlight w:val="none"/>
          <w:u w:val="single"/>
        </w:rPr>
        <w:t>（全称并加盖单位公章）</w:t>
      </w:r>
    </w:p>
    <w:p>
      <w:pPr>
        <w:pStyle w:val="8"/>
        <w:ind w:firstLine="480"/>
        <w:jc w:val="right"/>
        <w:rPr>
          <w:rFonts w:hint="eastAsia" w:ascii="黑体" w:hAnsi="黑体" w:eastAsia="黑体" w:cs="黑体"/>
          <w:color w:val="auto"/>
          <w:highlight w:val="none"/>
        </w:rPr>
      </w:pPr>
      <w:r>
        <w:rPr>
          <w:rFonts w:hint="eastAsia" w:ascii="黑体" w:hAnsi="黑体" w:eastAsia="黑体" w:cs="黑体"/>
          <w:color w:val="auto"/>
          <w:highlight w:val="none"/>
        </w:rPr>
        <w:t>日期：</w:t>
      </w:r>
      <w:r>
        <w:rPr>
          <w:rFonts w:hint="eastAsia" w:ascii="黑体" w:hAnsi="黑体" w:eastAsia="黑体" w:cs="黑体"/>
          <w:color w:val="auto"/>
          <w:highlight w:val="none"/>
          <w:u w:val="single"/>
        </w:rPr>
        <w:t>　　年　　月　　日</w:t>
      </w:r>
    </w:p>
    <w:p>
      <w:pPr>
        <w:pStyle w:val="8"/>
        <w:rPr>
          <w:rFonts w:hint="eastAsia" w:ascii="黑体" w:hAnsi="黑体" w:eastAsia="黑体" w:cs="黑体"/>
          <w:color w:val="auto"/>
          <w:highlight w:val="none"/>
        </w:rPr>
      </w:pPr>
      <w:r>
        <w:rPr>
          <w:rFonts w:hint="eastAsia" w:ascii="黑体" w:hAnsi="黑体" w:eastAsia="黑体" w:cs="黑体"/>
          <w:color w:val="auto"/>
          <w:highlight w:val="none"/>
        </w:rPr>
        <w:t xml:space="preserve"> </w:t>
      </w:r>
      <w:r>
        <w:rPr>
          <w:rFonts w:hint="eastAsia" w:ascii="黑体" w:hAnsi="黑体" w:eastAsia="黑体" w:cs="黑体"/>
          <w:color w:val="auto"/>
          <w:highlight w:val="none"/>
        </w:rPr>
        <w:br w:type="textWrapping"/>
      </w:r>
      <w:r>
        <w:rPr>
          <w:rFonts w:hint="eastAsia" w:ascii="黑体" w:hAnsi="黑体" w:eastAsia="黑体" w:cs="黑体"/>
          <w:color w:val="auto"/>
          <w:highlight w:val="none"/>
        </w:rPr>
        <w:br w:type="page"/>
      </w:r>
    </w:p>
    <w:p>
      <w:pPr>
        <w:pStyle w:val="8"/>
        <w:jc w:val="center"/>
        <w:outlineLvl w:val="2"/>
        <w:rPr>
          <w:rFonts w:hint="eastAsia" w:ascii="黑体" w:hAnsi="黑体" w:eastAsia="黑体" w:cs="黑体"/>
          <w:color w:val="auto"/>
          <w:highlight w:val="none"/>
        </w:rPr>
      </w:pPr>
      <w:r>
        <w:rPr>
          <w:rFonts w:hint="eastAsia" w:ascii="黑体" w:hAnsi="黑体" w:eastAsia="黑体" w:cs="黑体"/>
          <w:b/>
          <w:color w:val="auto"/>
          <w:sz w:val="28"/>
          <w:highlight w:val="none"/>
        </w:rPr>
        <w:t>四、投标人提交的其他资料（若有）</w:t>
      </w:r>
    </w:p>
    <w:p>
      <w:pPr>
        <w:pStyle w:val="8"/>
        <w:ind w:firstLine="480"/>
        <w:jc w:val="center"/>
        <w:rPr>
          <w:rFonts w:hint="eastAsia" w:ascii="黑体" w:hAnsi="黑体" w:eastAsia="黑体" w:cs="黑体"/>
          <w:color w:val="auto"/>
          <w:highlight w:val="none"/>
        </w:rPr>
      </w:pPr>
      <w:r>
        <w:rPr>
          <w:rFonts w:hint="eastAsia" w:ascii="黑体" w:hAnsi="黑体" w:eastAsia="黑体" w:cs="黑体"/>
          <w:color w:val="auto"/>
          <w:highlight w:val="none"/>
        </w:rPr>
        <w:t>编制说明</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1、招标文件要求提交的除“资格及资信证明部分”、“报价部分”外的其他证明材料或资料加盖投标人的单位公章后应在此项下提交。</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2、招标文件要求投标人提供方案（包括但不限于：组织、实施、技术、服务方案等）的，投标人应在此项下提交。</w:t>
      </w:r>
    </w:p>
    <w:p>
      <w:pPr>
        <w:pStyle w:val="8"/>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3、除招标文件另有规定外，投标人认为需要提交的其他证明材料或资料加盖投标人的单位公章后应在此项下提交。</w:t>
      </w:r>
    </w:p>
    <w:p>
      <w:pPr>
        <w:pStyle w:val="8"/>
        <w:rPr>
          <w:rFonts w:hint="eastAsia" w:ascii="黑体" w:hAnsi="黑体" w:eastAsia="黑体" w:cs="黑体"/>
          <w:color w:val="auto"/>
          <w:highlight w:val="none"/>
          <w:lang w:val="en-US" w:eastAsia="zh-Hans"/>
        </w:rPr>
      </w:pPr>
    </w:p>
    <w:sectPr>
      <w:footerReference r:id="rId3"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EEDC8"/>
    <w:multiLevelType w:val="singleLevel"/>
    <w:tmpl w:val="94FEEDC8"/>
    <w:lvl w:ilvl="0" w:tentative="0">
      <w:start w:val="1"/>
      <w:numFmt w:val="decimal"/>
      <w:suff w:val="nothing"/>
      <w:lvlText w:val="%1、"/>
      <w:lvlJc w:val="left"/>
    </w:lvl>
  </w:abstractNum>
  <w:abstractNum w:abstractNumId="1">
    <w:nsid w:val="B5A30730"/>
    <w:multiLevelType w:val="singleLevel"/>
    <w:tmpl w:val="B5A30730"/>
    <w:lvl w:ilvl="0" w:tentative="0">
      <w:start w:val="1"/>
      <w:numFmt w:val="decimal"/>
      <w:suff w:val="nothing"/>
      <w:lvlText w:val="%1、"/>
      <w:lvlJc w:val="left"/>
    </w:lvl>
  </w:abstractNum>
  <w:abstractNum w:abstractNumId="2">
    <w:nsid w:val="0F96C6E9"/>
    <w:multiLevelType w:val="singleLevel"/>
    <w:tmpl w:val="0F96C6E9"/>
    <w:lvl w:ilvl="0" w:tentative="0">
      <w:start w:val="1"/>
      <w:numFmt w:val="decimal"/>
      <w:suff w:val="nothing"/>
      <w:lvlText w:val="%1、"/>
      <w:lvlJc w:val="left"/>
    </w:lvl>
  </w:abstractNum>
  <w:abstractNum w:abstractNumId="3">
    <w:nsid w:val="66F687EC"/>
    <w:multiLevelType w:val="singleLevel"/>
    <w:tmpl w:val="66F687EC"/>
    <w:lvl w:ilvl="0" w:tentative="0">
      <w:start w:val="1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OGFjZmY4ZmRkMTM2MWFiOGQ0NDM5NzgwMjc3M2UifQ=="/>
  </w:docVars>
  <w:rsids>
    <w:rsidRoot w:val="53B52B8D"/>
    <w:rsid w:val="043963D3"/>
    <w:rsid w:val="049E278F"/>
    <w:rsid w:val="06D5287F"/>
    <w:rsid w:val="08B0780E"/>
    <w:rsid w:val="09443D6F"/>
    <w:rsid w:val="11BB3F9F"/>
    <w:rsid w:val="13086650"/>
    <w:rsid w:val="14F30749"/>
    <w:rsid w:val="151B6B7E"/>
    <w:rsid w:val="17733D4E"/>
    <w:rsid w:val="177F50ED"/>
    <w:rsid w:val="18955DA3"/>
    <w:rsid w:val="1A340CCE"/>
    <w:rsid w:val="1AA40330"/>
    <w:rsid w:val="1FEB577F"/>
    <w:rsid w:val="1FFFCDC9"/>
    <w:rsid w:val="24971053"/>
    <w:rsid w:val="26275E7F"/>
    <w:rsid w:val="2AE232B1"/>
    <w:rsid w:val="2BE74E45"/>
    <w:rsid w:val="2E211981"/>
    <w:rsid w:val="36B8795A"/>
    <w:rsid w:val="3AE04CFA"/>
    <w:rsid w:val="4D5C71F5"/>
    <w:rsid w:val="523F688D"/>
    <w:rsid w:val="53B52B8D"/>
    <w:rsid w:val="55F76BF0"/>
    <w:rsid w:val="582820EF"/>
    <w:rsid w:val="59AC5554"/>
    <w:rsid w:val="5A7B0BDC"/>
    <w:rsid w:val="61E04ED2"/>
    <w:rsid w:val="6AAB6D6A"/>
    <w:rsid w:val="6AD10FD9"/>
    <w:rsid w:val="6BFA5982"/>
    <w:rsid w:val="6C891FBD"/>
    <w:rsid w:val="6FFEDC9F"/>
    <w:rsid w:val="70DA0C57"/>
    <w:rsid w:val="71A81BCE"/>
    <w:rsid w:val="73F917B7"/>
    <w:rsid w:val="74B468CE"/>
    <w:rsid w:val="76EF306B"/>
    <w:rsid w:val="776763C2"/>
    <w:rsid w:val="77F79321"/>
    <w:rsid w:val="78C42AA3"/>
    <w:rsid w:val="7DC73B75"/>
    <w:rsid w:val="BBBF7779"/>
    <w:rsid w:val="EFFA06C3"/>
    <w:rsid w:val="FC7D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null3"/>
    <w:hidden/>
    <w:qFormat/>
    <w:uiPriority w:val="0"/>
    <w:rPr>
      <w:rFonts w:hint="eastAsia" w:asciiTheme="minorHAnsi" w:hAnsiTheme="minorHAnsi" w:eastAsiaTheme="minorEastAsia" w:cstheme="minorBidi"/>
      <w:lang w:val="en-US" w:eastAsia="zh-Hans"/>
    </w:rPr>
  </w:style>
  <w:style w:type="paragraph" w:customStyle="1" w:styleId="9">
    <w:name w:val="p16"/>
    <w:qFormat/>
    <w:uiPriority w:val="99"/>
    <w:pPr>
      <w:jc w:val="both"/>
    </w:pPr>
    <w:rPr>
      <w:rFonts w:ascii="宋体" w:hAnsi="Calibri" w:eastAsia="宋体" w:cs="宋体"/>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2022-04-10T03:57:00Z</dcterms:created>
  <dc:creator>五块钱</dc:creator>
  <cp:lastModifiedBy>smadmin</cp:lastModifiedBy>
  <cp:lastPrinted>2023-12-25T16:44:00Z</cp:lastPrinted>
  <dcterms:modified xsi:type="dcterms:W3CDTF">2024-01-15T10:50:46Z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5E2F5C81F6EB417D9178431F9744B776_13</vt:lpwstr>
  </property>
</Properties>
</file>